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D3F3" w14:textId="6C1F0CAA" w:rsidR="006F726B" w:rsidRPr="006F726B" w:rsidRDefault="006F726B" w:rsidP="00E90E69">
      <w:pPr>
        <w:suppressLineNumbers/>
        <w:suppressAutoHyphens/>
        <w:spacing w:after="0" w:line="240" w:lineRule="auto"/>
        <w:jc w:val="center"/>
        <w:rPr>
          <w:b/>
          <w:color w:val="FF0000"/>
          <w:sz w:val="20"/>
          <w:szCs w:val="20"/>
          <w:lang w:val="uk-UA"/>
        </w:rPr>
      </w:pPr>
      <w:r w:rsidRPr="006F726B">
        <w:rPr>
          <w:rFonts w:ascii="Arsenal" w:hAnsi="Arsenal"/>
          <w:color w:val="FF0000"/>
          <w:shd w:val="clear" w:color="auto" w:fill="FFFFFF"/>
        </w:rPr>
        <w:t>Зауваження та пропозиції просимо надсилати за електронною адресою:</w:t>
      </w:r>
      <w:r w:rsidRPr="006F726B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6F726B">
        <w:rPr>
          <w:rFonts w:ascii="Arsenal" w:hAnsi="Arsenal"/>
          <w:b/>
          <w:bCs/>
          <w:color w:val="FF0000"/>
        </w:rPr>
        <w:t>m.zimina@mdu.in.ua</w:t>
      </w:r>
      <w:r w:rsidRPr="006F726B">
        <w:rPr>
          <w:rStyle w:val="apple-converted-space"/>
          <w:rFonts w:ascii="Arsenal" w:hAnsi="Arsenal"/>
          <w:b/>
          <w:bCs/>
          <w:color w:val="FF0000"/>
        </w:rPr>
        <w:t> </w:t>
      </w:r>
      <w:r w:rsidRPr="006F726B">
        <w:rPr>
          <w:rFonts w:ascii="Arsenal" w:hAnsi="Arsenal"/>
          <w:b/>
          <w:bCs/>
          <w:color w:val="FF0000"/>
        </w:rPr>
        <w:t>до 28.08.2022</w:t>
      </w:r>
    </w:p>
    <w:p w14:paraId="17EAEBC0" w14:textId="77777777" w:rsidR="006F726B" w:rsidRDefault="006F726B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</w:p>
    <w:p w14:paraId="2AEC93F9" w14:textId="7C3EFFDE" w:rsidR="00990E01" w:rsidRPr="00E0199A" w:rsidRDefault="00990E01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E0199A">
        <w:rPr>
          <w:b/>
          <w:sz w:val="20"/>
          <w:szCs w:val="20"/>
          <w:lang w:val="uk-UA"/>
        </w:rPr>
        <w:t>СТРАТЕГІЧНИЙ ПЛАН РОЗВИТКУ</w:t>
      </w:r>
    </w:p>
    <w:p w14:paraId="68C9498B" w14:textId="06563279" w:rsidR="00990E01" w:rsidRPr="00E0199A" w:rsidRDefault="00990E01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E0199A">
        <w:rPr>
          <w:b/>
          <w:sz w:val="20"/>
          <w:szCs w:val="20"/>
          <w:lang w:val="uk-UA"/>
        </w:rPr>
        <w:t xml:space="preserve">МАРІУПОЛЬСЬКОГО ДЕРЖАВНОГО УНІВЕРСИТЕТУ </w:t>
      </w:r>
    </w:p>
    <w:p w14:paraId="71DF8A01" w14:textId="589AB462" w:rsidR="00282B99" w:rsidRDefault="00990E01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E0199A">
        <w:rPr>
          <w:b/>
          <w:sz w:val="20"/>
          <w:szCs w:val="20"/>
          <w:lang w:val="uk-UA"/>
        </w:rPr>
        <w:t xml:space="preserve">на 2021 – 2025   роки </w:t>
      </w:r>
      <w:r w:rsidR="00E0199A" w:rsidRPr="00E0199A">
        <w:rPr>
          <w:b/>
          <w:sz w:val="20"/>
          <w:szCs w:val="20"/>
          <w:lang w:val="uk-UA"/>
        </w:rPr>
        <w:t>(проєкт)</w:t>
      </w:r>
    </w:p>
    <w:p w14:paraId="34C078DF" w14:textId="77777777" w:rsidR="00E90E69" w:rsidRDefault="00E90E69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</w:p>
    <w:p w14:paraId="56E9D2F6" w14:textId="77777777" w:rsidR="00E90E69" w:rsidRDefault="00E90E69" w:rsidP="00E90E69">
      <w:pPr>
        <w:suppressLineNumbers/>
        <w:suppressAutoHyphens/>
        <w:spacing w:after="0" w:line="240" w:lineRule="auto"/>
        <w:jc w:val="center"/>
        <w:rPr>
          <w:b/>
          <w:sz w:val="20"/>
          <w:szCs w:val="20"/>
          <w:lang w:val="uk-UA"/>
        </w:rPr>
      </w:pPr>
    </w:p>
    <w:p w14:paraId="499D8118" w14:textId="566D4A44" w:rsidR="00E90E69" w:rsidRPr="00E0199A" w:rsidRDefault="00E90E69" w:rsidP="00E90E69">
      <w:pPr>
        <w:suppressLineNumbers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Місія, візія, цінності спільно</w:t>
      </w:r>
      <w:r w:rsidRPr="00E0199A">
        <w:rPr>
          <w:b/>
          <w:bCs/>
          <w:sz w:val="20"/>
          <w:szCs w:val="20"/>
          <w:lang w:val="uk-UA"/>
        </w:rPr>
        <w:t>ти МДУ</w:t>
      </w:r>
    </w:p>
    <w:p w14:paraId="3A6E45F8" w14:textId="77777777" w:rsidR="00E90E69" w:rsidRPr="00E0199A" w:rsidRDefault="00E90E69" w:rsidP="00E90E69">
      <w:pPr>
        <w:suppressLineNumbers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>Місія</w:t>
      </w:r>
      <w:r w:rsidRPr="00E0199A">
        <w:rPr>
          <w:sz w:val="20"/>
          <w:szCs w:val="20"/>
          <w:lang w:val="uk-UA"/>
        </w:rPr>
        <w:t> - Продукування та реалізація проривних моделей розвитку людського капіталу, зміцнення науково-освітнього та інноваційного потенціалу України</w:t>
      </w:r>
    </w:p>
    <w:p w14:paraId="337F032D" w14:textId="598B6D9F" w:rsidR="00E90E69" w:rsidRPr="00E0199A" w:rsidRDefault="00E90E69" w:rsidP="00E90E69">
      <w:pPr>
        <w:suppressLineNumbers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>Візія</w:t>
      </w:r>
      <w:r w:rsidRPr="00E0199A">
        <w:rPr>
          <w:sz w:val="20"/>
          <w:szCs w:val="20"/>
          <w:lang w:val="uk-UA"/>
        </w:rPr>
        <w:t> </w:t>
      </w:r>
      <w:r>
        <w:rPr>
          <w:sz w:val="20"/>
          <w:szCs w:val="20"/>
          <w:lang w:val="uk-UA"/>
        </w:rPr>
        <w:t>–</w:t>
      </w:r>
      <w:r w:rsidRPr="00E0199A">
        <w:rPr>
          <w:sz w:val="20"/>
          <w:szCs w:val="20"/>
          <w:lang w:val="uk-UA"/>
        </w:rPr>
        <w:t xml:space="preserve"> Університет</w:t>
      </w:r>
      <w:r>
        <w:rPr>
          <w:sz w:val="20"/>
          <w:szCs w:val="20"/>
          <w:lang w:val="uk-UA"/>
        </w:rPr>
        <w:t>-</w:t>
      </w:r>
      <w:r w:rsidRPr="00E0199A">
        <w:rPr>
          <w:sz w:val="20"/>
          <w:szCs w:val="20"/>
          <w:lang w:val="uk-UA"/>
        </w:rPr>
        <w:t>інноватор, центр трансформації громади, амбасадор Маріуполя в Україні та світі</w:t>
      </w:r>
    </w:p>
    <w:p w14:paraId="2AA9A526" w14:textId="77777777" w:rsidR="00E90E69" w:rsidRPr="00E0199A" w:rsidRDefault="00E90E69" w:rsidP="00E90E69">
      <w:pPr>
        <w:suppressLineNumbers/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>Цінності </w:t>
      </w:r>
      <w:r w:rsidRPr="00E0199A">
        <w:rPr>
          <w:sz w:val="20"/>
          <w:szCs w:val="20"/>
          <w:lang w:val="uk-UA"/>
        </w:rPr>
        <w:t>спільноти МДУ:</w:t>
      </w:r>
    </w:p>
    <w:p w14:paraId="49316770" w14:textId="77777777" w:rsidR="00E90E69" w:rsidRPr="00E0199A" w:rsidRDefault="00E90E69" w:rsidP="00E90E69">
      <w:pPr>
        <w:suppressLineNumbers/>
        <w:shd w:val="clear" w:color="auto" w:fill="FFFFFF"/>
        <w:tabs>
          <w:tab w:val="left" w:pos="993"/>
        </w:tabs>
        <w:suppressAutoHyphens/>
        <w:spacing w:after="0" w:line="240" w:lineRule="auto"/>
        <w:rPr>
          <w:sz w:val="20"/>
          <w:szCs w:val="20"/>
          <w:lang w:val="uk-UA"/>
        </w:rPr>
      </w:pPr>
      <w:r w:rsidRPr="00E0199A">
        <w:rPr>
          <w:sz w:val="20"/>
          <w:szCs w:val="20"/>
          <w:lang w:val="uk-UA"/>
        </w:rPr>
        <w:t>- Свобода та рівність</w:t>
      </w:r>
      <w:r w:rsidRPr="00E0199A">
        <w:rPr>
          <w:sz w:val="20"/>
          <w:szCs w:val="20"/>
          <w:lang w:val="uk-UA"/>
        </w:rPr>
        <w:br/>
        <w:t>- Людина, національна свідомість та патріотизм</w:t>
      </w:r>
      <w:r w:rsidRPr="00E0199A">
        <w:rPr>
          <w:sz w:val="20"/>
          <w:szCs w:val="20"/>
          <w:lang w:val="uk-UA"/>
        </w:rPr>
        <w:br/>
        <w:t>- Конкурентоспроможність, професіоналізм, якість</w:t>
      </w:r>
      <w:r w:rsidRPr="00E0199A">
        <w:rPr>
          <w:sz w:val="20"/>
          <w:szCs w:val="20"/>
          <w:lang w:val="uk-UA"/>
        </w:rPr>
        <w:br/>
        <w:t>- Духовність та доброчесність</w:t>
      </w:r>
      <w:r w:rsidRPr="00E0199A">
        <w:rPr>
          <w:sz w:val="20"/>
          <w:szCs w:val="20"/>
          <w:lang w:val="uk-UA"/>
        </w:rPr>
        <w:br/>
        <w:t>- Толерантність та екологічність</w:t>
      </w:r>
      <w:r w:rsidRPr="00E0199A">
        <w:rPr>
          <w:sz w:val="20"/>
          <w:szCs w:val="20"/>
          <w:lang w:val="uk-UA"/>
        </w:rPr>
        <w:br/>
        <w:t>- Модернізація та інтернаціоналізація</w:t>
      </w:r>
    </w:p>
    <w:p w14:paraId="075A1C37" w14:textId="77777777" w:rsidR="00E90E69" w:rsidRPr="00E0199A" w:rsidRDefault="00E90E69" w:rsidP="00E90E69">
      <w:pPr>
        <w:suppressLineNumbers/>
        <w:suppressAutoHyphens/>
        <w:spacing w:after="0" w:line="240" w:lineRule="auto"/>
        <w:rPr>
          <w:sz w:val="20"/>
          <w:szCs w:val="20"/>
          <w:lang w:val="uk-UA"/>
        </w:rPr>
      </w:pPr>
    </w:p>
    <w:p w14:paraId="0684F91B" w14:textId="1E421ED2" w:rsidR="002C4F19" w:rsidRPr="00E0199A" w:rsidRDefault="002C4F19" w:rsidP="00E90E69">
      <w:pPr>
        <w:suppressLineNumbers/>
        <w:suppressAutoHyphens/>
        <w:spacing w:after="0" w:line="240" w:lineRule="auto"/>
        <w:ind w:firstLine="709"/>
        <w:jc w:val="center"/>
        <w:rPr>
          <w:b/>
          <w:bCs/>
          <w:sz w:val="20"/>
          <w:szCs w:val="20"/>
          <w:lang w:val="uk-UA"/>
        </w:rPr>
      </w:pPr>
    </w:p>
    <w:p w14:paraId="0BF2B50C" w14:textId="0E037E37" w:rsidR="002E2208" w:rsidRPr="00E0199A" w:rsidRDefault="00C37450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701D8F" w:rsidRPr="00E0199A">
        <w:rPr>
          <w:b/>
          <w:bCs/>
          <w:sz w:val="20"/>
          <w:szCs w:val="20"/>
          <w:lang w:val="uk-UA"/>
        </w:rPr>
        <w:t>А</w:t>
      </w:r>
      <w:r w:rsidR="009B0AAA" w:rsidRPr="00E0199A">
        <w:rPr>
          <w:b/>
          <w:bCs/>
          <w:sz w:val="20"/>
          <w:szCs w:val="20"/>
          <w:lang w:val="uk-UA"/>
        </w:rPr>
        <w:t xml:space="preserve">. </w:t>
      </w:r>
      <w:r w:rsidR="00CD45E2" w:rsidRPr="00E0199A">
        <w:rPr>
          <w:b/>
          <w:bCs/>
          <w:sz w:val="20"/>
          <w:szCs w:val="20"/>
          <w:lang w:val="uk-UA"/>
        </w:rPr>
        <w:t xml:space="preserve">ВИСОКА ЯКІСТЬ ОСВІТИ </w:t>
      </w:r>
    </w:p>
    <w:p w14:paraId="134AD588" w14:textId="4E4BEBAD" w:rsidR="00701D8F" w:rsidRPr="00E0199A" w:rsidRDefault="00701D8F" w:rsidP="00E90E69">
      <w:pPr>
        <w:suppressLineNumbers/>
        <w:tabs>
          <w:tab w:val="left" w:pos="1050"/>
        </w:tabs>
        <w:suppressAutoHyphens/>
        <w:spacing w:after="0" w:line="240" w:lineRule="auto"/>
        <w:jc w:val="both"/>
        <w:rPr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9E4FE1" w:rsidRPr="00E0199A" w14:paraId="1013BB4C" w14:textId="3BDD9706" w:rsidTr="0039005E">
        <w:tc>
          <w:tcPr>
            <w:tcW w:w="2093" w:type="dxa"/>
          </w:tcPr>
          <w:p w14:paraId="3A20BCC3" w14:textId="4119036C" w:rsidR="00990E01" w:rsidRPr="00E0199A" w:rsidRDefault="00990E0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14F64D00" w14:textId="199E5C62" w:rsidR="00990E01" w:rsidRPr="00E0199A" w:rsidRDefault="00990E0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2D7EC272" w14:textId="77777777" w:rsidR="00990E01" w:rsidRPr="00E0199A" w:rsidRDefault="00990E01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47F4A967" w14:textId="77777777" w:rsidR="00990E01" w:rsidRPr="00E0199A" w:rsidRDefault="00990E0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6789CD7C" w14:textId="77777777" w:rsidR="00990E01" w:rsidRPr="00E0199A" w:rsidRDefault="00990E01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3EF78BCF" w14:textId="77777777" w:rsidR="00990E01" w:rsidRPr="00E0199A" w:rsidRDefault="00990E01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E4FE1" w:rsidRPr="00E0199A" w14:paraId="461482C9" w14:textId="39BB5ABE" w:rsidTr="0039005E">
        <w:trPr>
          <w:trHeight w:val="3743"/>
        </w:trPr>
        <w:tc>
          <w:tcPr>
            <w:tcW w:w="2093" w:type="dxa"/>
          </w:tcPr>
          <w:p w14:paraId="25B6CDAD" w14:textId="77777777" w:rsidR="00990E01" w:rsidRPr="00E0199A" w:rsidRDefault="00990E0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eastAsia="+mn-ea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А.1.  </w:t>
            </w:r>
            <w:r w:rsidRPr="00E0199A">
              <w:rPr>
                <w:rFonts w:eastAsia="+mn-ea"/>
                <w:kern w:val="24"/>
                <w:sz w:val="20"/>
                <w:szCs w:val="20"/>
                <w:lang w:val="uk-UA"/>
              </w:rPr>
              <w:t>Формування переліку освітніх та наукових програм відповідно до потреб ринку</w:t>
            </w:r>
          </w:p>
          <w:p w14:paraId="3CDD677E" w14:textId="77777777" w:rsidR="00300888" w:rsidRPr="00E0199A" w:rsidRDefault="0030088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eastAsia="+mn-ea"/>
                <w:kern w:val="24"/>
                <w:sz w:val="20"/>
                <w:szCs w:val="20"/>
                <w:lang w:val="uk-UA"/>
              </w:rPr>
            </w:pPr>
          </w:p>
          <w:p w14:paraId="60051525" w14:textId="6EC384EF" w:rsidR="00300888" w:rsidRPr="00E0199A" w:rsidRDefault="0030088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125510E7" w14:textId="33908230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А.1.1. </w:t>
            </w:r>
            <w:r w:rsidR="008638F4" w:rsidRPr="00E0199A">
              <w:rPr>
                <w:bCs/>
                <w:sz w:val="20"/>
                <w:szCs w:val="20"/>
                <w:lang w:val="uk-UA"/>
              </w:rPr>
              <w:t>відкриття актуальних ОП</w:t>
            </w:r>
            <w:r w:rsidRPr="00E0199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kern w:val="24"/>
                <w:sz w:val="20"/>
                <w:szCs w:val="20"/>
                <w:lang w:val="uk-UA"/>
              </w:rPr>
              <w:t>за всіма рівнями вищої освіти</w:t>
            </w:r>
            <w:r w:rsidR="00300888" w:rsidRPr="00E0199A">
              <w:rPr>
                <w:bCs/>
                <w:sz w:val="20"/>
                <w:szCs w:val="20"/>
                <w:lang w:val="uk-UA"/>
              </w:rPr>
              <w:t xml:space="preserve"> </w:t>
            </w:r>
          </w:p>
          <w:p w14:paraId="23536CB6" w14:textId="1551E7E4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А.1.</w:t>
            </w:r>
            <w:r w:rsidR="00BE0621" w:rsidRPr="00E0199A">
              <w:rPr>
                <w:sz w:val="20"/>
                <w:szCs w:val="20"/>
                <w:lang w:val="uk-UA"/>
              </w:rPr>
              <w:t>2</w:t>
            </w:r>
            <w:r w:rsidRPr="00E0199A">
              <w:rPr>
                <w:sz w:val="20"/>
                <w:szCs w:val="20"/>
                <w:lang w:val="uk-UA"/>
              </w:rPr>
              <w:t xml:space="preserve">. </w:t>
            </w:r>
            <w:r w:rsidR="00D23470" w:rsidRPr="00E0199A">
              <w:rPr>
                <w:sz w:val="20"/>
                <w:szCs w:val="20"/>
                <w:lang w:val="uk-UA"/>
              </w:rPr>
              <w:t>Відповідність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 освітніх та наукових програм</w:t>
            </w:r>
            <w:r w:rsidR="00D23470" w:rsidRPr="00E0199A">
              <w:rPr>
                <w:kern w:val="24"/>
                <w:sz w:val="20"/>
                <w:szCs w:val="20"/>
                <w:lang w:val="uk-UA"/>
              </w:rPr>
              <w:t xml:space="preserve"> запитам стейкхолдерів</w:t>
            </w:r>
          </w:p>
          <w:p w14:paraId="527E3A3D" w14:textId="38CC72D8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А.1.</w:t>
            </w:r>
            <w:r w:rsidR="00BE0621" w:rsidRPr="00E0199A">
              <w:rPr>
                <w:bCs/>
                <w:sz w:val="20"/>
                <w:szCs w:val="20"/>
                <w:lang w:val="uk-UA"/>
              </w:rPr>
              <w:t>3</w:t>
            </w:r>
            <w:r w:rsidRPr="00E0199A">
              <w:rPr>
                <w:bCs/>
                <w:sz w:val="20"/>
                <w:szCs w:val="20"/>
                <w:lang w:val="uk-UA"/>
              </w:rPr>
              <w:t xml:space="preserve">.  </w:t>
            </w:r>
            <w:r w:rsidRPr="00E0199A">
              <w:rPr>
                <w:kern w:val="24"/>
                <w:sz w:val="20"/>
                <w:szCs w:val="20"/>
                <w:lang w:val="uk-UA"/>
              </w:rPr>
              <w:t>Акредитація освітніх програм університету</w:t>
            </w:r>
          </w:p>
          <w:p w14:paraId="012DAA0E" w14:textId="452F9D45" w:rsidR="008638F4" w:rsidRPr="00E0199A" w:rsidRDefault="00990E01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А.1.</w:t>
            </w:r>
            <w:r w:rsidR="00BE0621" w:rsidRPr="00E0199A">
              <w:rPr>
                <w:sz w:val="20"/>
                <w:szCs w:val="20"/>
                <w:lang w:val="uk-UA"/>
              </w:rPr>
              <w:t>4</w:t>
            </w:r>
            <w:r w:rsidRPr="00E0199A">
              <w:rPr>
                <w:sz w:val="20"/>
                <w:szCs w:val="20"/>
                <w:lang w:val="uk-UA"/>
              </w:rPr>
              <w:t xml:space="preserve">.  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 Інституційна акредитація університету</w:t>
            </w:r>
          </w:p>
          <w:p w14:paraId="3E0911AC" w14:textId="2256711E" w:rsidR="00300888" w:rsidRPr="00E0199A" w:rsidRDefault="00D23470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rPr>
                <w:kern w:val="24"/>
                <w:sz w:val="20"/>
                <w:szCs w:val="20"/>
                <w:lang w:val="uk-UA"/>
              </w:rPr>
            </w:pPr>
            <w:r w:rsidRPr="00E0199A">
              <w:rPr>
                <w:kern w:val="24"/>
                <w:sz w:val="20"/>
                <w:szCs w:val="20"/>
                <w:lang w:val="uk-UA"/>
              </w:rPr>
              <w:t>А 1.</w:t>
            </w:r>
            <w:r w:rsidR="00BE0621" w:rsidRPr="00E0199A">
              <w:rPr>
                <w:kern w:val="24"/>
                <w:sz w:val="20"/>
                <w:szCs w:val="20"/>
                <w:lang w:val="uk-UA"/>
              </w:rPr>
              <w:t>5</w:t>
            </w:r>
            <w:r w:rsidRPr="00E0199A">
              <w:rPr>
                <w:kern w:val="24"/>
                <w:sz w:val="20"/>
                <w:szCs w:val="20"/>
                <w:lang w:val="uk-UA"/>
              </w:rPr>
              <w:t>.</w:t>
            </w:r>
            <w:r w:rsidR="00E648D6" w:rsidRPr="00E0199A">
              <w:rPr>
                <w:kern w:val="24"/>
                <w:sz w:val="20"/>
                <w:szCs w:val="20"/>
                <w:lang w:val="uk-UA"/>
              </w:rPr>
              <w:t xml:space="preserve"> </w:t>
            </w:r>
            <w:r w:rsidR="00DD20CE" w:rsidRPr="00E0199A">
              <w:rPr>
                <w:kern w:val="24"/>
                <w:sz w:val="20"/>
                <w:szCs w:val="20"/>
                <w:lang w:val="uk-UA"/>
              </w:rPr>
              <w:t>Визначення нового позиціонування ОП в умовах тимчасового переміщення</w:t>
            </w:r>
          </w:p>
        </w:tc>
        <w:tc>
          <w:tcPr>
            <w:tcW w:w="5514" w:type="dxa"/>
          </w:tcPr>
          <w:p w14:paraId="32CEDCF9" w14:textId="77777777" w:rsidR="00BE0621" w:rsidRPr="00E0199A" w:rsidRDefault="00BE0621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проведення аудиту ОП задля визначення стану та перспектив розвитку освітніх програм в умовах тимчасового переміщення </w:t>
            </w:r>
          </w:p>
          <w:p w14:paraId="72F99F01" w14:textId="1C8EF161" w:rsidR="00BE0621" w:rsidRPr="00E0199A" w:rsidRDefault="00BE0621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розробка та затвердження процедури відкриття ОП та формування конкурсних пропозицій (зокрема, на основі методики аудиту освітніх програм)</w:t>
            </w:r>
          </w:p>
          <w:p w14:paraId="765A182E" w14:textId="77777777" w:rsidR="009707AE" w:rsidRPr="00E0199A" w:rsidRDefault="009707AE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проведення щорічних круглих столів з питань корегування змісту освітніх програм з урахуванням потреб ринку праці із залученням стейкхолдерів (здобувачів вищої освіти, роботодавців, випускників, представників вітчизняних та закордонних ЗВО); </w:t>
            </w:r>
          </w:p>
          <w:p w14:paraId="3BB12609" w14:textId="39F208C3" w:rsidR="009707AE" w:rsidRPr="00E0199A" w:rsidRDefault="009707AE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залучення роботодавців до організації освітнього процесу в університеті; </w:t>
            </w:r>
          </w:p>
          <w:p w14:paraId="091C0170" w14:textId="1546EAF2" w:rsidR="009707AE" w:rsidRPr="00E0199A" w:rsidRDefault="009707AE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проведення щорічних Днів кар’єри, що сприяють працевлаштуванню випускників університету (на рівні не менш 65% для бакалаврів, 75% магістрів); </w:t>
            </w:r>
          </w:p>
          <w:p w14:paraId="65F6A010" w14:textId="5CB0120A" w:rsidR="00906C93" w:rsidRPr="00E0199A" w:rsidRDefault="009707AE" w:rsidP="00E90E69">
            <w:pPr>
              <w:pStyle w:val="ListParagraph"/>
              <w:numPr>
                <w:ilvl w:val="0"/>
                <w:numId w:val="27"/>
              </w:numPr>
              <w:suppressLineNumbers/>
              <w:tabs>
                <w:tab w:val="left" w:pos="34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створення та розвиток Асоціації випускників МДУ</w:t>
            </w:r>
            <w:r w:rsidR="00BE0621" w:rsidRPr="00E0199A">
              <w:rPr>
                <w:sz w:val="20"/>
                <w:szCs w:val="20"/>
                <w:lang w:val="uk-UA"/>
              </w:rPr>
              <w:t xml:space="preserve"> </w:t>
            </w:r>
          </w:p>
          <w:p w14:paraId="7CF7B62B" w14:textId="1DEC30AA" w:rsidR="009D10C0" w:rsidRPr="00E0199A" w:rsidRDefault="0030088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570" w:type="dxa"/>
          </w:tcPr>
          <w:p w14:paraId="5581561F" w14:textId="185A9CAF" w:rsidR="00B3170E" w:rsidRPr="00E0199A" w:rsidRDefault="00B3170E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контингент здобувачів вищої освіти; </w:t>
            </w:r>
          </w:p>
          <w:p w14:paraId="51398CA9" w14:textId="77777777" w:rsidR="00B3170E" w:rsidRPr="00E0199A" w:rsidRDefault="00B3170E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залучення роботодавців до організації освітнього процесу в університеті (на рівні не менш 5-10% від кількості НПП); </w:t>
            </w:r>
          </w:p>
          <w:p w14:paraId="5B85D970" w14:textId="77777777" w:rsidR="00B3170E" w:rsidRPr="00E0199A" w:rsidRDefault="00B3170E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працевлаштування випускників університету (на рівні не менш 65% для бакалаврів, 75% магістрів); </w:t>
            </w:r>
          </w:p>
          <w:p w14:paraId="7253C426" w14:textId="0D49EC87" w:rsidR="00B3170E" w:rsidRPr="00E0199A" w:rsidRDefault="00B3170E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своєчасне отримання сертифікатів про акредитацію, частка сертифікатів про акредитацію терміном на 5 та 10 років, що підтверджують якість вищої освіти та освітньої діяльності МДУ; </w:t>
            </w:r>
          </w:p>
          <w:p w14:paraId="0B8F3100" w14:textId="38551BA5" w:rsidR="00B3170E" w:rsidRPr="00E0199A" w:rsidRDefault="00B3170E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кількість залучених нових членів Асоціації випускників МДУ</w:t>
            </w:r>
            <w:r w:rsidR="00FE15B3" w:rsidRPr="00E0199A">
              <w:rPr>
                <w:sz w:val="20"/>
                <w:szCs w:val="20"/>
                <w:lang w:val="uk-UA"/>
              </w:rPr>
              <w:t>;</w:t>
            </w:r>
          </w:p>
          <w:p w14:paraId="341255F9" w14:textId="5A00EFA3" w:rsidR="00FE15B3" w:rsidRPr="00E0199A" w:rsidRDefault="00FE15B3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• </w:t>
            </w:r>
            <w:r w:rsidR="0022139D" w:rsidRPr="00E0199A">
              <w:rPr>
                <w:bCs/>
                <w:sz w:val="20"/>
                <w:szCs w:val="20"/>
                <w:lang w:val="uk-UA"/>
              </w:rPr>
              <w:t>категоризація ОП</w:t>
            </w:r>
            <w:r w:rsidR="002920E6" w:rsidRPr="00E0199A">
              <w:rPr>
                <w:bCs/>
                <w:sz w:val="20"/>
                <w:szCs w:val="20"/>
                <w:lang w:val="uk-UA"/>
              </w:rPr>
              <w:t>;</w:t>
            </w:r>
          </w:p>
          <w:p w14:paraId="67D2FCC5" w14:textId="77777777" w:rsidR="00B3170E" w:rsidRPr="00E0199A" w:rsidRDefault="001B16F0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 xml:space="preserve">• </w:t>
            </w:r>
            <w:r w:rsidRPr="00E0199A">
              <w:rPr>
                <w:bCs/>
                <w:sz w:val="20"/>
                <w:szCs w:val="20"/>
                <w:lang w:val="uk-UA"/>
              </w:rPr>
              <w:t>оновлена структура університету</w:t>
            </w:r>
          </w:p>
          <w:p w14:paraId="1190B7F9" w14:textId="77777777" w:rsidR="00300888" w:rsidRPr="00E0199A" w:rsidRDefault="00300888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</w:p>
          <w:p w14:paraId="6394FCFE" w14:textId="2E2E8310" w:rsidR="00300888" w:rsidRPr="00E0199A" w:rsidRDefault="00300888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E4FE1" w:rsidRPr="00E0199A" w14:paraId="557DE655" w14:textId="65BA9189" w:rsidTr="0039005E">
        <w:tc>
          <w:tcPr>
            <w:tcW w:w="2093" w:type="dxa"/>
          </w:tcPr>
          <w:p w14:paraId="3EFF132D" w14:textId="2F8770CD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ind w:right="-135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А.2.   </w:t>
            </w:r>
            <w:r w:rsidR="00F32A57" w:rsidRPr="00E0199A">
              <w:rPr>
                <w:sz w:val="20"/>
                <w:szCs w:val="20"/>
                <w:lang w:val="uk-UA"/>
              </w:rPr>
              <w:t>І</w:t>
            </w:r>
            <w:r w:rsidR="000E40EE" w:rsidRPr="00E0199A">
              <w:rPr>
                <w:sz w:val="20"/>
                <w:szCs w:val="20"/>
                <w:lang w:val="uk-UA"/>
              </w:rPr>
              <w:t xml:space="preserve">мплементація світових стандартів </w:t>
            </w:r>
            <w:r w:rsidR="000E40EE" w:rsidRPr="00E0199A">
              <w:rPr>
                <w:sz w:val="20"/>
                <w:szCs w:val="20"/>
                <w:lang w:val="uk-UA"/>
              </w:rPr>
              <w:lastRenderedPageBreak/>
              <w:t xml:space="preserve">якості </w:t>
            </w:r>
            <w:r w:rsidR="00F32A57" w:rsidRPr="00E0199A">
              <w:rPr>
                <w:sz w:val="20"/>
                <w:szCs w:val="20"/>
                <w:lang w:val="uk-UA"/>
              </w:rPr>
              <w:t>в освітніх програмах університету</w:t>
            </w:r>
          </w:p>
        </w:tc>
        <w:tc>
          <w:tcPr>
            <w:tcW w:w="2269" w:type="dxa"/>
          </w:tcPr>
          <w:p w14:paraId="6B673512" w14:textId="77777777" w:rsidR="00990E01" w:rsidRPr="00E0199A" w:rsidRDefault="00990E01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А.2.1. 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 xml:space="preserve">Розвиток університетської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lastRenderedPageBreak/>
              <w:t>корпоративної культури</w:t>
            </w:r>
          </w:p>
          <w:p w14:paraId="716BED12" w14:textId="77777777" w:rsidR="00990E01" w:rsidRPr="00E0199A" w:rsidRDefault="00990E01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eastAsia="Calibri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А.2.2. 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Гарантування високої якості освітніх програм</w:t>
            </w:r>
          </w:p>
          <w:p w14:paraId="5472BD5B" w14:textId="77777777" w:rsidR="00990E01" w:rsidRPr="00E0199A" w:rsidRDefault="00990E01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А.2.3.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Чіткі процедури та індикатори для самооцінювання якості освітньої діяльності</w:t>
            </w:r>
          </w:p>
          <w:p w14:paraId="50D7229A" w14:textId="77777777" w:rsidR="00990E01" w:rsidRPr="00E0199A" w:rsidRDefault="00990E01" w:rsidP="00E90E69">
            <w:pPr>
              <w:suppressLineNumbers/>
              <w:tabs>
                <w:tab w:val="left" w:pos="563"/>
                <w:tab w:val="left" w:pos="7913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kern w:val="24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А.2.4. Удосконалення системи забезпечення академічної доброчесності</w:t>
            </w:r>
          </w:p>
          <w:p w14:paraId="5A8F8840" w14:textId="3EEEEB3E" w:rsidR="00BE0621" w:rsidRPr="00E0199A" w:rsidRDefault="00990E01" w:rsidP="00E90E69">
            <w:pPr>
              <w:suppressLineNumbers/>
              <w:tabs>
                <w:tab w:val="left" w:pos="563"/>
                <w:tab w:val="left" w:pos="7913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kern w:val="24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А.2.5. Професійний розвиток викладачів та співробітників</w:t>
            </w:r>
          </w:p>
        </w:tc>
        <w:tc>
          <w:tcPr>
            <w:tcW w:w="5514" w:type="dxa"/>
          </w:tcPr>
          <w:p w14:paraId="713EA922" w14:textId="53D1082D" w:rsidR="00B7349F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• </w:t>
            </w:r>
            <w:r w:rsidR="00FE4E21" w:rsidRPr="00E0199A">
              <w:rPr>
                <w:sz w:val="20"/>
                <w:szCs w:val="20"/>
                <w:lang w:val="uk-UA"/>
              </w:rPr>
              <w:t xml:space="preserve">розробка нової освітньої концепції МДУ та удосконалення внутрішньої </w:t>
            </w:r>
            <w:r w:rsidRPr="00E0199A">
              <w:rPr>
                <w:sz w:val="20"/>
                <w:szCs w:val="20"/>
                <w:lang w:val="uk-UA"/>
              </w:rPr>
              <w:t xml:space="preserve">внутрішньої нормативної бази щодо якості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вищої освіти та освітньої діяльності; </w:t>
            </w:r>
          </w:p>
          <w:p w14:paraId="1EEC48E2" w14:textId="69B4CCD5" w:rsidR="00852F57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створення та розвиток Ради з якості вищої освіти МДУ та факультетських рад з якості</w:t>
            </w:r>
            <w:r w:rsidR="00B7349F" w:rsidRPr="00E0199A">
              <w:rPr>
                <w:sz w:val="20"/>
                <w:szCs w:val="20"/>
                <w:lang w:val="uk-UA"/>
              </w:rPr>
              <w:t>;</w:t>
            </w:r>
          </w:p>
          <w:p w14:paraId="1448A315" w14:textId="2BA8C464" w:rsidR="005D2C8D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проведення щорічних науково-практичних семінарів, тижнів академічної доброчесності, в т.ч. за участі Наукової бібліотеки МДУ</w:t>
            </w:r>
            <w:r w:rsidR="002920E6" w:rsidRPr="00E0199A">
              <w:rPr>
                <w:sz w:val="20"/>
                <w:szCs w:val="20"/>
                <w:lang w:val="uk-UA"/>
              </w:rPr>
              <w:t>;</w:t>
            </w:r>
          </w:p>
          <w:p w14:paraId="1943C7FE" w14:textId="2A5AF800" w:rsidR="00852F57" w:rsidRPr="00E0199A" w:rsidRDefault="002878A5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</w:t>
            </w:r>
            <w:r w:rsidR="00852F57" w:rsidRPr="00E0199A">
              <w:rPr>
                <w:sz w:val="20"/>
                <w:szCs w:val="20"/>
                <w:lang w:val="uk-UA"/>
              </w:rPr>
              <w:t>озробка та реалізація програми корпоративного навчання з метою розвитку академічного потенціалу в контексті очікуваного рівня якості</w:t>
            </w:r>
          </w:p>
          <w:p w14:paraId="4F6AF676" w14:textId="3398DA24" w:rsidR="009E4FE1" w:rsidRPr="00E0199A" w:rsidRDefault="009E4FE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6B1F283A" w14:textId="77777777" w:rsidR="00B7349F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• відсутність плагіату в академічному середовищі; </w:t>
            </w:r>
          </w:p>
          <w:p w14:paraId="1DFDC706" w14:textId="77777777" w:rsidR="00B7349F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щорічне рейтингове оцінювання здобувачів вищої освіти,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НПП університету; </w:t>
            </w:r>
          </w:p>
          <w:p w14:paraId="516C3965" w14:textId="77777777" w:rsidR="00D93D59" w:rsidRPr="00E0199A" w:rsidRDefault="00D93D5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проведення щорічних конкурсів «Кращий викладач» на факультетах та в Університеті.</w:t>
            </w:r>
          </w:p>
          <w:p w14:paraId="416E18E0" w14:textId="3F7D86AC" w:rsidR="00CB3A9A" w:rsidRPr="00E0199A" w:rsidRDefault="00CB3A9A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E4FE1" w:rsidRPr="00E0199A" w14:paraId="166F0051" w14:textId="37BD16A0" w:rsidTr="0039005E">
        <w:tc>
          <w:tcPr>
            <w:tcW w:w="2093" w:type="dxa"/>
          </w:tcPr>
          <w:p w14:paraId="632AC9E2" w14:textId="77777777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А.3. Модернізація змісту освіти </w:t>
            </w:r>
          </w:p>
          <w:p w14:paraId="598BBEF5" w14:textId="77777777" w:rsidR="00300888" w:rsidRPr="00E0199A" w:rsidRDefault="00300888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14:paraId="30C73EB3" w14:textId="4DA457FD" w:rsidR="00300888" w:rsidRPr="00E0199A" w:rsidRDefault="00300888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6274EC36" w14:textId="77777777" w:rsidR="00990E01" w:rsidRPr="00E0199A" w:rsidRDefault="00990E01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А.3.1.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 Розвиток індивідуальної освітньої траєкторії здобувачів вищої освіти; </w:t>
            </w:r>
          </w:p>
          <w:p w14:paraId="3A96BF37" w14:textId="77777777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А.3.2.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Розвиток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студентоцентрованого підходу у навчанні та викладанні;</w:t>
            </w:r>
          </w:p>
          <w:p w14:paraId="44327487" w14:textId="5FB6D73D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А.3.3.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 xml:space="preserve">Визнання результатів неформальної </w:t>
            </w:r>
            <w:r w:rsidR="001F79DF" w:rsidRPr="00E0199A">
              <w:rPr>
                <w:rFonts w:eastAsia="Calibri"/>
                <w:bCs/>
                <w:kern w:val="24"/>
                <w:sz w:val="20"/>
                <w:szCs w:val="20"/>
                <w:lang w:val="uk-UA"/>
              </w:rPr>
              <w:t xml:space="preserve">та інформальної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освіти</w:t>
            </w:r>
          </w:p>
          <w:p w14:paraId="5EAD26D3" w14:textId="41D42900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rFonts w:eastAsia="Calibri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А.3.4. </w:t>
            </w: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Впровадження дуальної освіти</w:t>
            </w:r>
          </w:p>
          <w:p w14:paraId="0335BBD9" w14:textId="13695EE3" w:rsidR="001F79DF" w:rsidRPr="00E0199A" w:rsidRDefault="001F79DF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rFonts w:eastAsia="Calibri"/>
                <w:bCs/>
                <w:iCs/>
                <w:kern w:val="24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Cs/>
                <w:kern w:val="24"/>
                <w:sz w:val="20"/>
                <w:szCs w:val="20"/>
                <w:lang w:val="uk-UA"/>
              </w:rPr>
              <w:t>А.3.5.</w:t>
            </w:r>
            <w:r w:rsidRPr="00E0199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bCs/>
                <w:iCs/>
                <w:sz w:val="20"/>
                <w:szCs w:val="20"/>
                <w:lang w:val="uk-UA"/>
              </w:rPr>
              <w:t>Вдосконалення іншомовної компетентності учасників освітнього процесу</w:t>
            </w:r>
          </w:p>
          <w:p w14:paraId="66BD25C0" w14:textId="3A4DDD0D" w:rsidR="00300888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А.3.</w:t>
            </w:r>
            <w:r w:rsidR="001F79DF"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6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.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Розвиток навчання впродовж життя</w:t>
            </w:r>
          </w:p>
        </w:tc>
        <w:tc>
          <w:tcPr>
            <w:tcW w:w="5514" w:type="dxa"/>
          </w:tcPr>
          <w:p w14:paraId="75BA2381" w14:textId="6184E8FF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запровадження процедур визнання результатів навчання, отриманих у неформальній </w:t>
            </w:r>
            <w:r w:rsidR="00CF3A11" w:rsidRPr="00E0199A">
              <w:rPr>
                <w:sz w:val="20"/>
                <w:szCs w:val="20"/>
                <w:lang w:val="uk-UA"/>
              </w:rPr>
              <w:t xml:space="preserve">та інформальній </w:t>
            </w:r>
            <w:r w:rsidRPr="00E0199A">
              <w:rPr>
                <w:sz w:val="20"/>
                <w:szCs w:val="20"/>
                <w:lang w:val="uk-UA"/>
              </w:rPr>
              <w:t xml:space="preserve">освіті, в процесі навчання на освітніх програмах МДУ; </w:t>
            </w:r>
          </w:p>
          <w:p w14:paraId="368066EE" w14:textId="77777777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запровадження дуальної форми здобуття вищої освіти; </w:t>
            </w:r>
          </w:p>
          <w:p w14:paraId="045260B1" w14:textId="26E7ADAA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розвиток університету третього покоління</w:t>
            </w:r>
            <w:r w:rsidR="00CF3A11" w:rsidRPr="00E0199A">
              <w:rPr>
                <w:sz w:val="20"/>
                <w:szCs w:val="20"/>
                <w:lang w:val="uk-UA"/>
              </w:rPr>
              <w:t xml:space="preserve"> шляхом </w:t>
            </w:r>
            <w:r w:rsidR="007031AE" w:rsidRPr="00E0199A">
              <w:rPr>
                <w:sz w:val="20"/>
                <w:szCs w:val="20"/>
                <w:lang w:val="uk-UA"/>
              </w:rPr>
              <w:t xml:space="preserve">розроблення й </w:t>
            </w:r>
            <w:r w:rsidR="006D25C3" w:rsidRPr="00E0199A">
              <w:rPr>
                <w:sz w:val="20"/>
                <w:szCs w:val="20"/>
                <w:lang w:val="uk-UA"/>
              </w:rPr>
              <w:t>в</w:t>
            </w:r>
            <w:r w:rsidR="007031AE" w:rsidRPr="00E0199A">
              <w:rPr>
                <w:sz w:val="20"/>
                <w:szCs w:val="20"/>
                <w:lang w:val="uk-UA"/>
              </w:rPr>
              <w:t>провадження сертифікатних програм</w:t>
            </w:r>
            <w:r w:rsidR="00CF3A11" w:rsidRPr="00E0199A">
              <w:rPr>
                <w:sz w:val="20"/>
                <w:szCs w:val="20"/>
                <w:lang w:val="uk-UA"/>
              </w:rPr>
              <w:t xml:space="preserve">, що реалізуються на базі </w:t>
            </w:r>
            <w:r w:rsidR="00300888" w:rsidRPr="00E0199A">
              <w:rPr>
                <w:sz w:val="20"/>
                <w:szCs w:val="20"/>
                <w:lang w:val="uk-UA"/>
              </w:rPr>
              <w:t xml:space="preserve"> Центр</w:t>
            </w:r>
            <w:r w:rsidR="006D25C3" w:rsidRPr="00E0199A">
              <w:rPr>
                <w:sz w:val="20"/>
                <w:szCs w:val="20"/>
                <w:lang w:val="uk-UA"/>
              </w:rPr>
              <w:t>у розвитку людського потенціалу</w:t>
            </w:r>
            <w:r w:rsidR="00300888" w:rsidRPr="00E0199A">
              <w:rPr>
                <w:sz w:val="20"/>
                <w:szCs w:val="20"/>
                <w:lang w:val="uk-UA"/>
              </w:rPr>
              <w:t>;</w:t>
            </w:r>
          </w:p>
          <w:p w14:paraId="1B2BD190" w14:textId="77777777" w:rsidR="00BE0621" w:rsidRPr="00E0199A" w:rsidRDefault="00BE062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  <w:p w14:paraId="015E36F5" w14:textId="5A62CBA8" w:rsidR="00BE0621" w:rsidRPr="00E0199A" w:rsidRDefault="00BE062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006E7095" w14:textId="77777777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рівень відповідності ресурсного забезпечення (кадрового, матеріально-технічного) університету для осіб з особливими освітніми потребами; </w:t>
            </w:r>
          </w:p>
          <w:p w14:paraId="173C9EC8" w14:textId="358B0F66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наявність задекларованих процедур та практик визнання результатів навчання, отриманих у неформальній освіті</w:t>
            </w:r>
            <w:r w:rsidR="00CB3A9A" w:rsidRPr="00E0199A">
              <w:rPr>
                <w:sz w:val="20"/>
                <w:szCs w:val="20"/>
                <w:lang w:val="uk-UA"/>
              </w:rPr>
              <w:t xml:space="preserve"> та інформальній</w:t>
            </w:r>
            <w:r w:rsidRPr="00E0199A">
              <w:rPr>
                <w:sz w:val="20"/>
                <w:szCs w:val="20"/>
                <w:lang w:val="uk-UA"/>
              </w:rPr>
              <w:t xml:space="preserve">, в освітньому процесі МДУ; </w:t>
            </w:r>
          </w:p>
          <w:p w14:paraId="30A78078" w14:textId="77777777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кількість учасників програм за дуальною формою здобуття вищої освіти; </w:t>
            </w:r>
          </w:p>
          <w:p w14:paraId="2EA5FFF7" w14:textId="1DAB2A3B" w:rsidR="0012425E" w:rsidRPr="00E0199A" w:rsidRDefault="001242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кількість програм, реалізованих у рамках </w:t>
            </w:r>
            <w:r w:rsidR="006D25C3" w:rsidRPr="00E0199A">
              <w:rPr>
                <w:sz w:val="20"/>
                <w:szCs w:val="20"/>
                <w:lang w:val="uk-UA"/>
              </w:rPr>
              <w:t xml:space="preserve">Центру розвитку людського потенціалу та </w:t>
            </w:r>
            <w:r w:rsidRPr="00E0199A">
              <w:rPr>
                <w:sz w:val="20"/>
                <w:szCs w:val="20"/>
                <w:lang w:val="uk-UA"/>
              </w:rPr>
              <w:t>університету третього покоління.</w:t>
            </w:r>
          </w:p>
          <w:p w14:paraId="2B914B2C" w14:textId="28CB539A" w:rsidR="00956DDB" w:rsidRPr="00E0199A" w:rsidRDefault="00956DDB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  <w:p w14:paraId="6C19DC60" w14:textId="06855B53" w:rsidR="00DA7615" w:rsidRPr="00E0199A" w:rsidRDefault="00DA7615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E4FE1" w:rsidRPr="00E0199A" w14:paraId="6DCB0FA6" w14:textId="3728506D" w:rsidTr="0039005E">
        <w:tc>
          <w:tcPr>
            <w:tcW w:w="2093" w:type="dxa"/>
          </w:tcPr>
          <w:p w14:paraId="385C5DAA" w14:textId="3E8055B5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А.4. Розвиток цифрового навчання </w:t>
            </w:r>
          </w:p>
        </w:tc>
        <w:tc>
          <w:tcPr>
            <w:tcW w:w="2269" w:type="dxa"/>
          </w:tcPr>
          <w:p w14:paraId="5617E55B" w14:textId="320DC0DE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А.4.1.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Збільшення кількості </w:t>
            </w:r>
            <w:r w:rsidR="009E4FE1"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ЕНК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за освітніми програмами університету</w:t>
            </w:r>
          </w:p>
          <w:p w14:paraId="6DC6AC52" w14:textId="77777777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lastRenderedPageBreak/>
              <w:t xml:space="preserve">А.4.2.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Вдосконалення автоматизованої системи управління освітнім процесом;</w:t>
            </w:r>
          </w:p>
          <w:p w14:paraId="79CDC4F0" w14:textId="77777777" w:rsidR="00990E01" w:rsidRPr="00E0199A" w:rsidRDefault="00990E01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А.4.3.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Модернізація матеріально-технічної бази та програмного забезпечення освітнього процесу</w:t>
            </w:r>
          </w:p>
          <w:p w14:paraId="5998770C" w14:textId="77777777" w:rsidR="00990E01" w:rsidRPr="00E0199A" w:rsidRDefault="00990E01" w:rsidP="00E90E69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А.4.4.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Вдосконалення цифрової компетентності учасників освітнього процесу</w:t>
            </w:r>
          </w:p>
          <w:p w14:paraId="4A820DC3" w14:textId="51AB0842" w:rsidR="006C04FF" w:rsidRPr="00E0199A" w:rsidRDefault="006C04FF" w:rsidP="00E90E69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А 4.5.Формування оновленої цифрової освітньої  екосистеми</w:t>
            </w:r>
          </w:p>
        </w:tc>
        <w:tc>
          <w:tcPr>
            <w:tcW w:w="5514" w:type="dxa"/>
          </w:tcPr>
          <w:p w14:paraId="3211E5E4" w14:textId="36F6FFCF" w:rsidR="006C04FF" w:rsidRPr="00E0199A" w:rsidRDefault="00DE4155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• розробка та запро</w:t>
            </w:r>
            <w:r w:rsidR="00B81C10" w:rsidRPr="00E0199A">
              <w:rPr>
                <w:sz w:val="20"/>
                <w:szCs w:val="20"/>
                <w:lang w:val="uk-UA"/>
              </w:rPr>
              <w:t>вадження стратегії цифровізації</w:t>
            </w:r>
          </w:p>
          <w:p w14:paraId="1660299F" w14:textId="6FDD59FD" w:rsidR="00DE4155" w:rsidRPr="00E0199A" w:rsidRDefault="00DE4155" w:rsidP="00E90E69">
            <w:pPr>
              <w:pStyle w:val="ListParagraph"/>
              <w:numPr>
                <w:ilvl w:val="0"/>
                <w:numId w:val="30"/>
              </w:numPr>
              <w:suppressLineNumbers/>
              <w:tabs>
                <w:tab w:val="left" w:pos="3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створення персональних електронних кабінетів в АСУ «Деканат» та </w:t>
            </w:r>
            <w:r w:rsidRPr="00E0199A">
              <w:rPr>
                <w:sz w:val="20"/>
                <w:szCs w:val="20"/>
              </w:rPr>
              <w:t>LMS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</w:rPr>
              <w:t>Moodle</w:t>
            </w:r>
            <w:r w:rsidRPr="00E0199A">
              <w:rPr>
                <w:sz w:val="20"/>
                <w:szCs w:val="20"/>
                <w:lang w:val="uk-UA"/>
              </w:rPr>
              <w:t xml:space="preserve"> – МДУ; </w:t>
            </w:r>
          </w:p>
          <w:p w14:paraId="387B0B5F" w14:textId="40174D07" w:rsidR="006D25C3" w:rsidRPr="00E0199A" w:rsidRDefault="00FE4E21" w:rsidP="00E90E69">
            <w:pPr>
              <w:pStyle w:val="ListParagraph"/>
              <w:numPr>
                <w:ilvl w:val="0"/>
                <w:numId w:val="30"/>
              </w:numPr>
              <w:suppressLineNumbers/>
              <w:tabs>
                <w:tab w:val="left" w:pos="3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удосконалення електроного забезпечення</w:t>
            </w:r>
            <w:r w:rsidR="00DE4155" w:rsidRPr="00E0199A">
              <w:rPr>
                <w:sz w:val="20"/>
                <w:szCs w:val="20"/>
                <w:lang w:val="uk-UA"/>
              </w:rPr>
              <w:t xml:space="preserve"> навчальних </w:t>
            </w:r>
            <w:r w:rsidR="00DE4155" w:rsidRPr="00E0199A">
              <w:rPr>
                <w:sz w:val="20"/>
                <w:szCs w:val="20"/>
                <w:lang w:val="uk-UA"/>
              </w:rPr>
              <w:lastRenderedPageBreak/>
              <w:t>дисциплін освітніх програм спеціальностей університету</w:t>
            </w:r>
            <w:r w:rsidR="00852F57"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  <w:lang w:val="uk-UA"/>
              </w:rPr>
              <w:t>(мультімедіа- та відео-лекцій</w:t>
            </w:r>
            <w:r w:rsidR="00CF0837" w:rsidRPr="00E0199A">
              <w:rPr>
                <w:sz w:val="20"/>
                <w:szCs w:val="20"/>
                <w:lang w:val="uk-UA"/>
              </w:rPr>
              <w:t>)</w:t>
            </w:r>
            <w:r w:rsidRPr="00E0199A">
              <w:rPr>
                <w:sz w:val="20"/>
                <w:szCs w:val="20"/>
                <w:lang w:val="uk-UA"/>
              </w:rPr>
              <w:t xml:space="preserve">,  </w:t>
            </w:r>
            <w:r w:rsidR="00CF0837" w:rsidRPr="00E0199A">
              <w:rPr>
                <w:sz w:val="20"/>
                <w:szCs w:val="20"/>
                <w:lang w:val="uk-UA"/>
              </w:rPr>
              <w:t xml:space="preserve">створення </w:t>
            </w:r>
            <w:r w:rsidR="00852F57" w:rsidRPr="00E0199A">
              <w:rPr>
                <w:sz w:val="20"/>
                <w:szCs w:val="20"/>
                <w:lang w:val="uk-UA"/>
              </w:rPr>
              <w:t>студії для запису</w:t>
            </w:r>
            <w:r w:rsidR="006D25C3" w:rsidRPr="00E0199A">
              <w:rPr>
                <w:sz w:val="20"/>
                <w:szCs w:val="20"/>
                <w:lang w:val="uk-UA"/>
              </w:rPr>
              <w:t xml:space="preserve"> тощо);</w:t>
            </w:r>
          </w:p>
          <w:p w14:paraId="09021F28" w14:textId="57017886" w:rsidR="00DE4155" w:rsidRPr="00E0199A" w:rsidRDefault="00CF0837" w:rsidP="00E90E69">
            <w:pPr>
              <w:pStyle w:val="ListParagraph"/>
              <w:numPr>
                <w:ilvl w:val="0"/>
                <w:numId w:val="30"/>
              </w:numPr>
              <w:suppressLineNumbers/>
              <w:tabs>
                <w:tab w:val="left" w:pos="3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розробка </w:t>
            </w:r>
            <w:r w:rsidR="00852F57" w:rsidRPr="00E0199A">
              <w:rPr>
                <w:sz w:val="20"/>
                <w:szCs w:val="20"/>
                <w:lang w:val="uk-UA"/>
              </w:rPr>
              <w:t xml:space="preserve"> корпоратив</w:t>
            </w:r>
            <w:r w:rsidRPr="00E0199A">
              <w:rPr>
                <w:sz w:val="20"/>
                <w:szCs w:val="20"/>
                <w:lang w:val="uk-UA"/>
              </w:rPr>
              <w:t>ного</w:t>
            </w:r>
            <w:r w:rsidR="00852F57" w:rsidRPr="00E0199A">
              <w:rPr>
                <w:sz w:val="20"/>
                <w:szCs w:val="20"/>
                <w:lang w:val="uk-UA"/>
              </w:rPr>
              <w:t xml:space="preserve"> стандарт</w:t>
            </w:r>
            <w:r w:rsidRPr="00E0199A">
              <w:rPr>
                <w:sz w:val="20"/>
                <w:szCs w:val="20"/>
                <w:lang w:val="uk-UA"/>
              </w:rPr>
              <w:t>у</w:t>
            </w:r>
            <w:r w:rsidR="00852F57" w:rsidRPr="00E0199A">
              <w:rPr>
                <w:sz w:val="20"/>
                <w:szCs w:val="20"/>
                <w:lang w:val="uk-UA"/>
              </w:rPr>
              <w:t xml:space="preserve"> відеоматеріалів</w:t>
            </w:r>
            <w:r w:rsidR="006D25C3" w:rsidRPr="00E0199A">
              <w:rPr>
                <w:sz w:val="20"/>
                <w:szCs w:val="20"/>
                <w:lang w:val="uk-UA"/>
              </w:rPr>
              <w:t xml:space="preserve"> за освітніми програмами університету</w:t>
            </w:r>
            <w:r w:rsidR="00DE4155" w:rsidRPr="00E0199A">
              <w:rPr>
                <w:sz w:val="20"/>
                <w:szCs w:val="20"/>
                <w:lang w:val="uk-UA"/>
              </w:rPr>
              <w:t xml:space="preserve">; </w:t>
            </w:r>
          </w:p>
          <w:p w14:paraId="68C2208A" w14:textId="734825A3" w:rsidR="00DE4155" w:rsidRPr="00E0199A" w:rsidRDefault="00DE4155" w:rsidP="00E90E69">
            <w:pPr>
              <w:pStyle w:val="ListParagraph"/>
              <w:numPr>
                <w:ilvl w:val="0"/>
                <w:numId w:val="30"/>
              </w:numPr>
              <w:suppressLineNumbers/>
              <w:tabs>
                <w:tab w:val="left" w:pos="3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оснащення аудиторій університету необхідним матеріально-технічним обладнанням для проведення занять онлайн (комп’ютери, мікрофони, мультимедійні дошки);</w:t>
            </w:r>
          </w:p>
          <w:p w14:paraId="6A864B64" w14:textId="77777777" w:rsidR="006B200D" w:rsidRPr="00E0199A" w:rsidRDefault="006B200D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  <w:p w14:paraId="7A56C4DB" w14:textId="11231CBD" w:rsidR="0003049E" w:rsidRPr="00E0199A" w:rsidRDefault="0003049E" w:rsidP="00E90E69">
            <w:pPr>
              <w:pStyle w:val="ListParagraph"/>
              <w:suppressLineNumbers/>
              <w:suppressAutoHyphens/>
              <w:spacing w:after="0" w:line="240" w:lineRule="auto"/>
              <w:ind w:left="0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695F0226" w14:textId="77777777" w:rsidR="006C04FF" w:rsidRPr="00E0199A" w:rsidRDefault="006C04FF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81"/>
                <w:tab w:val="left" w:pos="222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наявність оновленої цифрової освітньої екосистеми (рівень забезпечення освітнього процесу сучасним навчальним обладнанням; кількісні показники забезпечення освітнього процесу сучасним програмним забезпеченням, віртуальними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тренажерами тощо) </w:t>
            </w:r>
          </w:p>
          <w:p w14:paraId="23B5513C" w14:textId="77777777" w:rsidR="006C04FF" w:rsidRPr="00E0199A" w:rsidRDefault="006C04FF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•новий вебсайт МДУ</w:t>
            </w:r>
          </w:p>
          <w:p w14:paraId="5083D8FC" w14:textId="645AE00F" w:rsidR="006C04FF" w:rsidRPr="00E0199A" w:rsidRDefault="006C04FF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•відсоток автоматизації документообігу </w:t>
            </w:r>
          </w:p>
          <w:p w14:paraId="0B26E0F2" w14:textId="77777777" w:rsidR="00CF0837" w:rsidRPr="00E0199A" w:rsidRDefault="006C04FF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</w:t>
            </w:r>
            <w:r w:rsidR="00DE4155" w:rsidRPr="00E0199A">
              <w:rPr>
                <w:sz w:val="20"/>
                <w:szCs w:val="20"/>
                <w:lang w:val="uk-UA"/>
              </w:rPr>
              <w:t xml:space="preserve">кількість користувачів електронних персональних кабінетів; </w:t>
            </w:r>
          </w:p>
          <w:p w14:paraId="253778BD" w14:textId="76A74C4B" w:rsidR="00DE4155" w:rsidRPr="00E0199A" w:rsidRDefault="00DE4155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відсоток кількості сертифікованих дистанційних курсів; </w:t>
            </w:r>
          </w:p>
          <w:p w14:paraId="47A00CBE" w14:textId="77777777" w:rsidR="00DE4155" w:rsidRPr="00E0199A" w:rsidRDefault="00DE4155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відсоток кількості відео-лекцій з навчальних дисциплін освітніх програм; </w:t>
            </w:r>
          </w:p>
          <w:p w14:paraId="2B25D2E1" w14:textId="64E5FDF2" w:rsidR="00DE4155" w:rsidRPr="00E0199A" w:rsidRDefault="00DE4155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кількість обладнаних аудиторій для проведення занять онлайн.</w:t>
            </w:r>
          </w:p>
          <w:p w14:paraId="20A241B0" w14:textId="5DFC5DB2" w:rsidR="006C04FF" w:rsidRPr="00E0199A" w:rsidRDefault="006C04FF" w:rsidP="00E90E69">
            <w:pPr>
              <w:suppressLineNumbers/>
              <w:suppressAutoHyphens/>
              <w:spacing w:after="0" w:line="240" w:lineRule="auto"/>
              <w:ind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E4FE1" w:rsidRPr="00E0199A" w14:paraId="154CA09D" w14:textId="0BBEB97C" w:rsidTr="0039005E">
        <w:tc>
          <w:tcPr>
            <w:tcW w:w="2093" w:type="dxa"/>
          </w:tcPr>
          <w:p w14:paraId="3C2EA617" w14:textId="1E630552" w:rsidR="00990E01" w:rsidRPr="00E0199A" w:rsidRDefault="00990E0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А.5. </w:t>
            </w:r>
            <w:r w:rsidR="00B43234" w:rsidRPr="00E0199A">
              <w:rPr>
                <w:sz w:val="20"/>
                <w:szCs w:val="20"/>
                <w:lang w:val="uk-UA"/>
              </w:rPr>
              <w:t>Вдосконалення напрямів профорієнтаційної роботи</w:t>
            </w:r>
          </w:p>
        </w:tc>
        <w:tc>
          <w:tcPr>
            <w:tcW w:w="2269" w:type="dxa"/>
          </w:tcPr>
          <w:p w14:paraId="0C6D48DC" w14:textId="77777777" w:rsidR="00990E01" w:rsidRPr="00E0199A" w:rsidRDefault="00990E01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А.5.1. </w:t>
            </w:r>
            <w:r w:rsidRPr="00E0199A">
              <w:rPr>
                <w:color w:val="000000"/>
                <w:kern w:val="24"/>
                <w:sz w:val="20"/>
                <w:szCs w:val="20"/>
                <w:lang w:val="uk-UA"/>
              </w:rPr>
              <w:t>Збільшення контингенту здобувачів вищої освіти;</w:t>
            </w:r>
          </w:p>
          <w:p w14:paraId="5790D62B" w14:textId="77777777" w:rsidR="00990E01" w:rsidRPr="00E0199A" w:rsidRDefault="00990E01" w:rsidP="00E90E69">
            <w:pPr>
              <w:suppressLineNumbers/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color w:val="000000"/>
                <w:kern w:val="24"/>
                <w:sz w:val="20"/>
                <w:szCs w:val="20"/>
                <w:lang w:val="uk-UA"/>
              </w:rPr>
              <w:t xml:space="preserve">А.5.2.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Вдосконалення системи профорієнтаційної роботи; </w:t>
            </w:r>
          </w:p>
          <w:p w14:paraId="6A751CF0" w14:textId="77777777" w:rsidR="00990E01" w:rsidRPr="00E0199A" w:rsidRDefault="00990E01" w:rsidP="00E90E69">
            <w:pPr>
              <w:suppressLineNumbers/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А.5.3. Залучення вступників з лінії зіткнення та тимчасово окупованих територій;</w:t>
            </w:r>
          </w:p>
          <w:p w14:paraId="64A68D88" w14:textId="079E0FA1" w:rsidR="00990E01" w:rsidRPr="00E0199A" w:rsidRDefault="00990E01" w:rsidP="00E90E69">
            <w:pPr>
              <w:suppressLineNumbers/>
              <w:tabs>
                <w:tab w:val="left" w:pos="993"/>
              </w:tabs>
              <w:suppressAutoHyphens/>
              <w:spacing w:after="0" w:line="240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А.5.4.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 Розширення спектру послуг доуніверситетської освіти</w:t>
            </w:r>
          </w:p>
        </w:tc>
        <w:tc>
          <w:tcPr>
            <w:tcW w:w="5514" w:type="dxa"/>
          </w:tcPr>
          <w:p w14:paraId="0C4B6DD6" w14:textId="44B4F7DC" w:rsidR="006C6A2D" w:rsidRPr="00E0199A" w:rsidRDefault="006C6A2D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проведення щорічних комунікативних заходів (Дня відкритих дверей МДУ, факультетів, конференцій, семінарів, майстер-класів для учнів та вчителів шкіл, презентацій,</w:t>
            </w:r>
            <w:r w:rsidR="00CB3A9A" w:rsidRPr="00E0199A">
              <w:rPr>
                <w:sz w:val="20"/>
                <w:szCs w:val="20"/>
                <w:lang w:val="uk-UA"/>
              </w:rPr>
              <w:t xml:space="preserve"> Днів кар’єри,  </w:t>
            </w:r>
            <w:r w:rsidRPr="00E0199A">
              <w:rPr>
                <w:sz w:val="20"/>
                <w:szCs w:val="20"/>
                <w:lang w:val="uk-UA"/>
              </w:rPr>
              <w:t xml:space="preserve"> виставок, літніх тематичних практик); </w:t>
            </w:r>
          </w:p>
          <w:p w14:paraId="44C1754C" w14:textId="5C64D845" w:rsidR="006C6A2D" w:rsidRPr="00E0199A" w:rsidRDefault="006C6A2D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60"/>
              <w:jc w:val="both"/>
              <w:rPr>
                <w:b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залучення слухачів курсів з підготовки до ДПА та ЗНО , у т.ч. ОЦ «До</w:t>
            </w:r>
            <w:r w:rsidR="008267D9" w:rsidRPr="00E0199A">
              <w:rPr>
                <w:sz w:val="20"/>
                <w:szCs w:val="20"/>
                <w:lang w:val="uk-UA"/>
              </w:rPr>
              <w:t>н</w:t>
            </w:r>
            <w:r w:rsidRPr="00E0199A">
              <w:rPr>
                <w:sz w:val="20"/>
                <w:szCs w:val="20"/>
                <w:lang w:val="uk-UA"/>
              </w:rPr>
              <w:t>бас-Україна, «Крим-Україна»;</w:t>
            </w:r>
          </w:p>
          <w:p w14:paraId="35B7EC85" w14:textId="77777777" w:rsidR="006C6A2D" w:rsidRPr="00E0199A" w:rsidRDefault="006C6A2D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організація серії майстер-класів для абітурієнтів за освітньо-професійними програмами університету «Майбутня професія»;</w:t>
            </w:r>
          </w:p>
          <w:p w14:paraId="5E021008" w14:textId="378CB459" w:rsidR="00B43234" w:rsidRPr="00E0199A" w:rsidRDefault="00C60EFA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впровадження</w:t>
            </w:r>
            <w:r w:rsidR="00FE4A5B" w:rsidRPr="00E0199A">
              <w:rPr>
                <w:sz w:val="20"/>
                <w:szCs w:val="20"/>
                <w:lang w:val="uk-UA"/>
              </w:rPr>
              <w:t xml:space="preserve"> </w:t>
            </w:r>
            <w:r w:rsidR="00FE4A5B" w:rsidRPr="00E0199A">
              <w:rPr>
                <w:sz w:val="20"/>
                <w:szCs w:val="20"/>
                <w:lang w:val="en-US"/>
              </w:rPr>
              <w:t>CRM</w:t>
            </w:r>
            <w:r w:rsidR="00FE4A5B" w:rsidRPr="00E0199A">
              <w:rPr>
                <w:sz w:val="20"/>
                <w:szCs w:val="20"/>
                <w:lang w:val="uk-UA"/>
              </w:rPr>
              <w:t xml:space="preserve"> </w:t>
            </w:r>
            <w:r w:rsidR="006C6A2D" w:rsidRPr="00E0199A">
              <w:rPr>
                <w:sz w:val="20"/>
                <w:szCs w:val="20"/>
                <w:lang w:val="uk-UA"/>
              </w:rPr>
              <w:t>платформи для організації вступної кампанії.</w:t>
            </w:r>
          </w:p>
          <w:p w14:paraId="2BEF9A77" w14:textId="77777777" w:rsidR="000E40EE" w:rsidRPr="00E0199A" w:rsidRDefault="000E40EE" w:rsidP="00E90E69">
            <w:pPr>
              <w:pStyle w:val="ListParagraph"/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</w:p>
          <w:p w14:paraId="22C8CB75" w14:textId="102DE212" w:rsidR="00FE4A5B" w:rsidRPr="00E0199A" w:rsidRDefault="00FE4A5B" w:rsidP="00E90E69">
            <w:pPr>
              <w:suppressLineNumbers/>
              <w:suppressAutoHyphens/>
              <w:spacing w:after="0" w:line="240" w:lineRule="auto"/>
              <w:ind w:firstLine="60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49077B1" w14:textId="7780355C" w:rsidR="00990E01" w:rsidRPr="00E0199A" w:rsidRDefault="00990E0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74378461" w14:textId="77777777" w:rsidR="005A3268" w:rsidRPr="00E0199A" w:rsidRDefault="005A326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зростання контингенту першокурсників університету, у т.ч. відвідувачів підготовчих курсів; </w:t>
            </w:r>
          </w:p>
          <w:p w14:paraId="2C6805AB" w14:textId="63D2B5C7" w:rsidR="005A3268" w:rsidRPr="00E0199A" w:rsidRDefault="005A326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збільшення кількості вступників освітнього центру «Донбас-Україна» МДУ;</w:t>
            </w:r>
          </w:p>
          <w:p w14:paraId="2EDE7488" w14:textId="35AC41E0" w:rsidR="005A3268" w:rsidRPr="00E0199A" w:rsidRDefault="005A3268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 w:firstLine="6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збільшення кількості учасників Профорієнтаційної практики на базі університету серед учнів 8-10 класів.</w:t>
            </w:r>
          </w:p>
        </w:tc>
      </w:tr>
    </w:tbl>
    <w:p w14:paraId="3958BF06" w14:textId="603DEFDA" w:rsidR="00701D8F" w:rsidRPr="00E0199A" w:rsidRDefault="00701D8F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jc w:val="both"/>
        <w:rPr>
          <w:b/>
          <w:bCs/>
          <w:sz w:val="20"/>
          <w:szCs w:val="20"/>
          <w:lang w:val="uk-UA"/>
        </w:rPr>
      </w:pPr>
    </w:p>
    <w:p w14:paraId="02D69635" w14:textId="7BA5B925" w:rsidR="007C1925" w:rsidRPr="00E0199A" w:rsidRDefault="007C1925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left="2410" w:right="2"/>
        <w:rPr>
          <w:b/>
          <w:bCs/>
          <w:sz w:val="20"/>
          <w:szCs w:val="20"/>
          <w:lang w:val="uk-UA"/>
        </w:rPr>
      </w:pPr>
    </w:p>
    <w:p w14:paraId="13232418" w14:textId="30C005C7" w:rsidR="00C37450" w:rsidRPr="00E0199A" w:rsidRDefault="00C37450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5848CD" w:rsidRPr="00E0199A">
        <w:rPr>
          <w:b/>
          <w:bCs/>
          <w:sz w:val="20"/>
          <w:szCs w:val="20"/>
          <w:lang w:val="uk-UA"/>
        </w:rPr>
        <w:t>В</w:t>
      </w:r>
      <w:r w:rsidRPr="00E0199A">
        <w:rPr>
          <w:b/>
          <w:bCs/>
          <w:sz w:val="20"/>
          <w:szCs w:val="20"/>
          <w:lang w:val="uk-UA"/>
        </w:rPr>
        <w:t xml:space="preserve">. </w:t>
      </w:r>
      <w:r w:rsidR="00CD45E2" w:rsidRPr="00E0199A">
        <w:rPr>
          <w:b/>
          <w:bCs/>
          <w:sz w:val="20"/>
          <w:szCs w:val="20"/>
          <w:lang w:val="uk-UA"/>
        </w:rPr>
        <w:t>ПОТУЖНИЙ НАУКОВИЙ ПОТЕНЦІАЛ</w:t>
      </w:r>
    </w:p>
    <w:p w14:paraId="57B69947" w14:textId="65766F25" w:rsidR="00C37450" w:rsidRPr="00E0199A" w:rsidRDefault="00C37450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jc w:val="center"/>
        <w:rPr>
          <w:b/>
          <w:b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282B99" w:rsidRPr="00E0199A" w14:paraId="437C9EF4" w14:textId="77777777" w:rsidTr="00A94EB6">
        <w:tc>
          <w:tcPr>
            <w:tcW w:w="2093" w:type="dxa"/>
          </w:tcPr>
          <w:p w14:paraId="67E32BE0" w14:textId="77777777" w:rsidR="0039005E" w:rsidRPr="00E0199A" w:rsidRDefault="003900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11171635" w14:textId="77777777" w:rsidR="0039005E" w:rsidRPr="00E0199A" w:rsidRDefault="003900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3DBB9CF6" w14:textId="77777777" w:rsidR="0039005E" w:rsidRPr="00E0199A" w:rsidRDefault="0039005E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61815B90" w14:textId="77777777" w:rsidR="0039005E" w:rsidRPr="00E0199A" w:rsidRDefault="003900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3AA2871E" w14:textId="77777777" w:rsidR="0039005E" w:rsidRPr="00E0199A" w:rsidRDefault="0039005E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082661A5" w14:textId="77777777" w:rsidR="0039005E" w:rsidRPr="00E0199A" w:rsidRDefault="0039005E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FA41BD" w:rsidRPr="00E0199A" w14:paraId="31F52E63" w14:textId="77777777" w:rsidTr="002920E6">
        <w:trPr>
          <w:trHeight w:val="661"/>
        </w:trPr>
        <w:tc>
          <w:tcPr>
            <w:tcW w:w="2093" w:type="dxa"/>
          </w:tcPr>
          <w:p w14:paraId="1EEAD055" w14:textId="0BD27220" w:rsidR="0039005E" w:rsidRPr="00E0199A" w:rsidRDefault="0039005E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 xml:space="preserve">В.1.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Забезпечення розвитку і оптимального співвідношення фундаментальних та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lastRenderedPageBreak/>
              <w:t>прикладних досліджень</w:t>
            </w:r>
          </w:p>
        </w:tc>
        <w:tc>
          <w:tcPr>
            <w:tcW w:w="2269" w:type="dxa"/>
          </w:tcPr>
          <w:p w14:paraId="3F51E91B" w14:textId="77777777" w:rsidR="0039005E" w:rsidRPr="00E0199A" w:rsidRDefault="0039005E" w:rsidP="00E90E69">
            <w:pPr>
              <w:pStyle w:val="NormalWeb"/>
              <w:suppressLineNumbers/>
              <w:tabs>
                <w:tab w:val="left" w:pos="993"/>
              </w:tabs>
              <w:suppressAutoHyphens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lastRenderedPageBreak/>
              <w:t>В.1.1.  Запро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вадження новітніх освітніх технологій на базі наукових досліджень, інноваційної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lastRenderedPageBreak/>
              <w:t>діяльності, відповідного кадрового забезпечення, зміцнення іміджу Університету як визнаного в Україні та світі потужного науково-освітнього закладу вищої освіти;</w:t>
            </w:r>
          </w:p>
          <w:p w14:paraId="44689237" w14:textId="77777777" w:rsidR="0039005E" w:rsidRPr="00E0199A" w:rsidRDefault="0039005E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В.1.2. 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Підвищення потенціалу комерціалізації результатів наукових досліджень і забезпечення правової охорони об’єктів інтелектуальної власності Університету;</w:t>
            </w:r>
          </w:p>
          <w:p w14:paraId="4BA6C523" w14:textId="06D06191" w:rsidR="0039005E" w:rsidRPr="00E0199A" w:rsidRDefault="0039005E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В.1.3. Розширення напрямів прикладних досліджень</w:t>
            </w:r>
          </w:p>
        </w:tc>
        <w:tc>
          <w:tcPr>
            <w:tcW w:w="5514" w:type="dxa"/>
          </w:tcPr>
          <w:p w14:paraId="0260A1CA" w14:textId="080F28F1" w:rsidR="00157B4B" w:rsidRPr="00E0199A" w:rsidRDefault="00157B4B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288"/>
              </w:tabs>
              <w:suppressAutoHyphens/>
              <w:spacing w:after="0" w:line="240" w:lineRule="auto"/>
              <w:ind w:left="0" w:firstLine="6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збільшення міждисциплінарних та інноваційних досліджень у природничих, гуманітарних, суспільних та технічних науках; </w:t>
            </w:r>
          </w:p>
          <w:p w14:paraId="30C50E89" w14:textId="02DAC4C8" w:rsidR="00157B4B" w:rsidRPr="00E0199A" w:rsidRDefault="00157B4B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288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збільшення обсягів фінансування та кількості НДР, що виконуються на госпрозрахункових засадах; </w:t>
            </w:r>
          </w:p>
          <w:p w14:paraId="49276B63" w14:textId="242D6396" w:rsidR="00157B4B" w:rsidRPr="00E0199A" w:rsidRDefault="00157B4B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288"/>
              </w:tabs>
              <w:suppressAutoHyphens/>
              <w:spacing w:after="0" w:line="240" w:lineRule="auto"/>
              <w:ind w:left="0" w:firstLine="6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активізація наукової співпраці із потенційними замовниками дослідницьких проєктів.</w:t>
            </w:r>
          </w:p>
          <w:p w14:paraId="57E5B3D1" w14:textId="1EC29965" w:rsidR="00DD5698" w:rsidRPr="00E0199A" w:rsidRDefault="00DD5698" w:rsidP="00E90E69">
            <w:pPr>
              <w:suppressLineNumbers/>
              <w:tabs>
                <w:tab w:val="left" w:pos="0"/>
                <w:tab w:val="left" w:pos="288"/>
              </w:tabs>
              <w:suppressAutoHyphens/>
              <w:spacing w:after="0" w:line="240" w:lineRule="auto"/>
              <w:ind w:firstLine="6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F29BC88" w14:textId="49BC6C92" w:rsidR="00824ADF" w:rsidRPr="00E0199A" w:rsidRDefault="00824ADF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142"/>
                <w:tab w:val="left" w:pos="288"/>
              </w:tabs>
              <w:suppressAutoHyphens/>
              <w:spacing w:after="0" w:line="240" w:lineRule="auto"/>
              <w:ind w:left="81" w:firstLine="6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кількість науково-дослідних тем (фундаментального і прикладного характеру, у т. ч. за рахунок коштів державного бюджету), грантових проєктів, за якими в МДУ здійснюється робота (динаміка за роками за науковими напрямами); </w:t>
            </w:r>
          </w:p>
          <w:p w14:paraId="24562BA4" w14:textId="77777777" w:rsidR="00824ADF" w:rsidRPr="00E0199A" w:rsidRDefault="00824ADF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142"/>
                <w:tab w:val="left" w:pos="288"/>
              </w:tabs>
              <w:suppressAutoHyphens/>
              <w:spacing w:after="0" w:line="240" w:lineRule="auto"/>
              <w:ind w:left="81" w:firstLine="6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кількість виконаних робіт та обсяги їх фінансування.</w:t>
            </w:r>
          </w:p>
          <w:p w14:paraId="22304C8B" w14:textId="18D4E9F4" w:rsidR="005A12D5" w:rsidRPr="00E0199A" w:rsidRDefault="005A12D5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0"/>
                <w:tab w:val="left" w:pos="142"/>
                <w:tab w:val="left" w:pos="288"/>
              </w:tabs>
              <w:suppressAutoHyphens/>
              <w:spacing w:after="0" w:line="240" w:lineRule="auto"/>
              <w:ind w:left="81" w:firstLine="6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кількість отриманих авторських свідоцтв та інших охоронних документів, отриманих викладачами МДУ, що засвідчують їхню інтелектуальну власність на наукові продукти.</w:t>
            </w:r>
          </w:p>
        </w:tc>
      </w:tr>
      <w:tr w:rsidR="00FA41BD" w:rsidRPr="00E0199A" w14:paraId="7A84E91B" w14:textId="77777777" w:rsidTr="00CE07F1">
        <w:trPr>
          <w:trHeight w:val="870"/>
        </w:trPr>
        <w:tc>
          <w:tcPr>
            <w:tcW w:w="2093" w:type="dxa"/>
          </w:tcPr>
          <w:p w14:paraId="64CC45D4" w14:textId="77777777" w:rsidR="00CE07F1" w:rsidRPr="00E0199A" w:rsidRDefault="00CE07F1" w:rsidP="00E90E69">
            <w:pPr>
              <w:suppressLineNumbers/>
              <w:shd w:val="clear" w:color="auto" w:fill="FFFFFF"/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В.2.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Формування та розвиток наукових шкіл, зміцнення матеріальної бази дослідницьких центрів і лабораторій як базових осередків реалізації наукових досліджень</w:t>
            </w:r>
          </w:p>
          <w:p w14:paraId="0B9FCE94" w14:textId="77777777" w:rsidR="00CE07F1" w:rsidRPr="00E0199A" w:rsidRDefault="00CE07F1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ind w:left="-142" w:right="-21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</w:t>
            </w:r>
          </w:p>
          <w:p w14:paraId="2129D4E9" w14:textId="77777777" w:rsidR="00CE07F1" w:rsidRPr="00E0199A" w:rsidRDefault="00CE07F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69DCB7E3" w14:textId="77777777" w:rsidR="00CE07F1" w:rsidRPr="00E0199A" w:rsidRDefault="00CE07F1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В.2.1.  Удосконалення системи підтримки та заохочення викладачів з високими науковими досягненнями</w:t>
            </w:r>
          </w:p>
          <w:p w14:paraId="53878210" w14:textId="77777777" w:rsidR="00CE07F1" w:rsidRPr="00E0199A" w:rsidRDefault="00CE07F1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В..2.2.  Розширення переліку наукових програм  підготовки докторів наук;</w:t>
            </w:r>
          </w:p>
          <w:p w14:paraId="109590A8" w14:textId="77777777" w:rsidR="00CE07F1" w:rsidRPr="00E0199A" w:rsidRDefault="00CE07F1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В.2.3.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Активізація роботи НПП із талановитою молоддю задля підвищення внеску молодих вчених у розвиток університетської науки;</w:t>
            </w:r>
          </w:p>
          <w:p w14:paraId="54DB45A3" w14:textId="2C98D689" w:rsidR="00CE07F1" w:rsidRPr="00E0199A" w:rsidRDefault="00CE07F1" w:rsidP="00E90E69">
            <w:pPr>
              <w:suppressLineNumbers/>
              <w:suppressAutoHyphens/>
              <w:spacing w:after="0" w:line="240" w:lineRule="auto"/>
              <w:jc w:val="both"/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  <w:t>В.2.4. </w:t>
            </w:r>
            <w:r w:rsidRPr="00E0199A">
              <w:rPr>
                <w:sz w:val="20"/>
                <w:szCs w:val="20"/>
                <w:lang w:val="uk-UA"/>
              </w:rPr>
              <w:t xml:space="preserve">Забезпечення зростання фінансування фундаментальних досліджень, їх зв’язків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з прикладними розробками та освітнім процесом; </w:t>
            </w:r>
          </w:p>
          <w:p w14:paraId="562973C9" w14:textId="77777777" w:rsidR="00535FB6" w:rsidRPr="00E0199A" w:rsidRDefault="00CE07F1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  <w:t>В.2.5.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  <w:lang w:val="uk-UA"/>
              </w:rPr>
              <w:t xml:space="preserve">Оновлення матеріально-технічної бази наукових досліджень; </w:t>
            </w:r>
          </w:p>
          <w:p w14:paraId="5CD9A898" w14:textId="3AAB3BFF" w:rsidR="00CE07F1" w:rsidRPr="00E0199A" w:rsidRDefault="00CE07F1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В.2.6. Активізація діяльності структурних підрозділів Університету у розробленні та реалізації державних цільових, галузевих і регіональних соціально-економічних проєктів і програм; проведення експертно-аналітичного оцінювання наукових розробок для органів управління всіх рівнів і суб’єктів господарювання.</w:t>
            </w:r>
          </w:p>
        </w:tc>
        <w:tc>
          <w:tcPr>
            <w:tcW w:w="5514" w:type="dxa"/>
          </w:tcPr>
          <w:p w14:paraId="038E7E3A" w14:textId="5C9E050A" w:rsidR="00535FB6" w:rsidRPr="00E0199A" w:rsidRDefault="00535FB6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rFonts w:eastAsiaTheme="minorHAnsi"/>
                <w:sz w:val="20"/>
                <w:szCs w:val="20"/>
                <w:lang w:val="uk-UA" w:eastAsia="en-US"/>
              </w:rPr>
              <w:lastRenderedPageBreak/>
              <w:t>проведення кадрового аудиту наукового потенціалу університету</w:t>
            </w:r>
            <w:r w:rsidR="000E40EE" w:rsidRPr="00E0199A">
              <w:rPr>
                <w:rFonts w:eastAsiaTheme="minorHAnsi"/>
                <w:sz w:val="20"/>
                <w:szCs w:val="20"/>
                <w:lang w:val="uk-UA" w:eastAsia="en-US"/>
              </w:rPr>
              <w:t xml:space="preserve">, </w:t>
            </w:r>
            <w:r w:rsidR="000E40EE"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ідентифікація діючих та перспективних наукових шкіл, розробка програми їх розвитку (зокрема шляхом інтернаціоналізації) та моніторингу результатів діяльності</w:t>
            </w:r>
            <w:r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;</w:t>
            </w:r>
          </w:p>
          <w:p w14:paraId="215F91B2" w14:textId="35342EF8" w:rsidR="00535FB6" w:rsidRPr="00E0199A" w:rsidRDefault="00535FB6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удосконалення системи рейтингового оцінювання та стимулювання наукової роботи НПП </w:t>
            </w:r>
            <w:r w:rsidR="000E40EE" w:rsidRPr="00E0199A">
              <w:rPr>
                <w:sz w:val="20"/>
                <w:szCs w:val="20"/>
                <w:lang w:val="uk-UA"/>
              </w:rPr>
              <w:t xml:space="preserve">та наукових шкіл </w:t>
            </w:r>
            <w:r w:rsidRPr="00E0199A">
              <w:rPr>
                <w:sz w:val="20"/>
                <w:szCs w:val="20"/>
                <w:lang w:val="uk-UA"/>
              </w:rPr>
              <w:t xml:space="preserve">з метою їх заохочення до професійного розвитку та самореалізації; </w:t>
            </w:r>
          </w:p>
          <w:p w14:paraId="39E6E2D5" w14:textId="2DFAADDF" w:rsidR="00535FB6" w:rsidRPr="00E0199A" w:rsidRDefault="00535FB6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заохочення науковців, молодих вчених Університету до участі в перспективних наукових дослідженнях, наукових конкурсах унаслідок зміцнення кадрової та матеріальної бази наукових досліджень; </w:t>
            </w:r>
          </w:p>
          <w:p w14:paraId="31A8EA2C" w14:textId="04ED0C52" w:rsidR="00535FB6" w:rsidRPr="00E0199A" w:rsidRDefault="00535FB6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rFonts w:eastAsiaTheme="minorHAnsi"/>
                <w:bCs/>
                <w:sz w:val="20"/>
                <w:szCs w:val="20"/>
                <w:lang w:val="uk-UA" w:eastAsia="en-US"/>
              </w:rPr>
            </w:pPr>
            <w:r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створення нових інфраструктурних дослідницьких об'єктів (лабораторій та центрів).</w:t>
            </w:r>
          </w:p>
          <w:p w14:paraId="43B5BEC7" w14:textId="7CF3E47E" w:rsidR="005A326D" w:rsidRPr="00E0199A" w:rsidRDefault="005A326D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rFonts w:eastAsiaTheme="minorHAnsi"/>
                <w:bCs/>
                <w:sz w:val="20"/>
                <w:szCs w:val="20"/>
                <w:lang w:val="uk-UA" w:eastAsia="en-US"/>
              </w:rPr>
            </w:pPr>
            <w:r w:rsidRPr="00E0199A">
              <w:rPr>
                <w:sz w:val="20"/>
                <w:szCs w:val="20"/>
                <w:lang w:val="uk-UA"/>
              </w:rPr>
              <w:t>створення цифрового</w:t>
            </w:r>
            <w:r w:rsidR="00FA4F3A" w:rsidRPr="00E0199A">
              <w:rPr>
                <w:sz w:val="20"/>
                <w:szCs w:val="20"/>
                <w:lang w:val="uk-UA"/>
              </w:rPr>
              <w:t xml:space="preserve"> (он-лайн)</w:t>
            </w:r>
            <w:r w:rsidRPr="00E0199A">
              <w:rPr>
                <w:sz w:val="20"/>
                <w:szCs w:val="20"/>
                <w:lang w:val="uk-UA"/>
              </w:rPr>
              <w:t xml:space="preserve"> Музею історії та археології МДУ.</w:t>
            </w:r>
          </w:p>
          <w:p w14:paraId="2525A547" w14:textId="12A16710" w:rsidR="00196137" w:rsidRPr="00E0199A" w:rsidRDefault="00196137" w:rsidP="00E90E69">
            <w:pPr>
              <w:pStyle w:val="ListParagraph"/>
              <w:suppressLineNumbers/>
              <w:tabs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trike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54415B0" w14:textId="26F91386" w:rsidR="00620495" w:rsidRPr="00E0199A" w:rsidRDefault="009B7A1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динаміка </w:t>
            </w:r>
            <w:r w:rsidR="00620495" w:rsidRPr="00E0199A">
              <w:rPr>
                <w:sz w:val="20"/>
                <w:szCs w:val="20"/>
                <w:lang w:val="uk-UA"/>
              </w:rPr>
              <w:t>наукового потенціалу МДУ (</w:t>
            </w:r>
            <w:r w:rsidR="002920E6" w:rsidRPr="00E0199A">
              <w:rPr>
                <w:sz w:val="20"/>
                <w:szCs w:val="20"/>
                <w:lang w:val="uk-UA"/>
              </w:rPr>
              <w:t>з</w:t>
            </w:r>
            <w:r w:rsidR="00620495" w:rsidRPr="00E0199A">
              <w:rPr>
                <w:sz w:val="20"/>
                <w:szCs w:val="20"/>
                <w:lang w:val="uk-UA"/>
              </w:rPr>
              <w:t>а роками: Чисельність науково-педагогічних працівників</w:t>
            </w:r>
            <w:r w:rsidR="005A326D" w:rsidRPr="00E0199A">
              <w:rPr>
                <w:sz w:val="20"/>
                <w:szCs w:val="20"/>
                <w:lang w:val="uk-UA"/>
              </w:rPr>
              <w:t>, збільшення кількості аспірантів та докторантів</w:t>
            </w:r>
            <w:r w:rsidR="00620495" w:rsidRPr="00E0199A">
              <w:rPr>
                <w:sz w:val="20"/>
                <w:szCs w:val="20"/>
                <w:lang w:val="uk-UA"/>
              </w:rPr>
              <w:t>);</w:t>
            </w:r>
          </w:p>
          <w:p w14:paraId="1900D494" w14:textId="7E54249F" w:rsidR="00620495" w:rsidRPr="00E0199A" w:rsidRDefault="009B7A1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кількість </w:t>
            </w:r>
            <w:r w:rsidR="00620495" w:rsidRPr="00E0199A">
              <w:rPr>
                <w:sz w:val="20"/>
                <w:szCs w:val="20"/>
                <w:lang w:val="uk-UA"/>
              </w:rPr>
              <w:t xml:space="preserve">захищених дисертацій за рік у спеціалізованих вчених радах; </w:t>
            </w:r>
          </w:p>
          <w:p w14:paraId="78F056BA" w14:textId="7D0DD168" w:rsidR="00620495" w:rsidRPr="00E0199A" w:rsidRDefault="009B7A1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показники </w:t>
            </w:r>
            <w:r w:rsidR="00620495" w:rsidRPr="00E0199A">
              <w:rPr>
                <w:sz w:val="20"/>
                <w:szCs w:val="20"/>
                <w:lang w:val="uk-UA"/>
              </w:rPr>
              <w:t>ефективності аспірантури / докторантури;</w:t>
            </w:r>
          </w:p>
          <w:p w14:paraId="511C007D" w14:textId="1627877B" w:rsidR="00620495" w:rsidRPr="00E0199A" w:rsidRDefault="009B7A1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створені </w:t>
            </w:r>
            <w:r w:rsidR="00712509" w:rsidRPr="00E0199A">
              <w:rPr>
                <w:bCs/>
                <w:sz w:val="20"/>
                <w:szCs w:val="20"/>
                <w:lang w:val="uk-UA"/>
              </w:rPr>
              <w:t xml:space="preserve">об’єкти дослідницької інфраструктури (зокрема, кіберполігон і лабораторія </w:t>
            </w:r>
            <w:r w:rsidR="00712509" w:rsidRPr="00E0199A">
              <w:rPr>
                <w:bCs/>
                <w:sz w:val="20"/>
                <w:szCs w:val="20"/>
                <w:lang w:val="en-US"/>
              </w:rPr>
              <w:t>STEAM</w:t>
            </w:r>
            <w:r w:rsidR="00712509" w:rsidRPr="00E0199A">
              <w:rPr>
                <w:bCs/>
                <w:sz w:val="20"/>
                <w:szCs w:val="20"/>
                <w:lang w:val="uk-UA"/>
              </w:rPr>
              <w:t>-освіти</w:t>
            </w:r>
            <w:r w:rsidR="005A326D" w:rsidRPr="00E0199A">
              <w:rPr>
                <w:bCs/>
                <w:sz w:val="20"/>
                <w:szCs w:val="20"/>
                <w:lang w:val="uk-UA"/>
              </w:rPr>
              <w:t>, цифровий музей історії та археології МДУ</w:t>
            </w:r>
            <w:r w:rsidR="00712509" w:rsidRPr="00E0199A">
              <w:rPr>
                <w:bCs/>
                <w:sz w:val="20"/>
                <w:szCs w:val="20"/>
                <w:lang w:val="uk-UA"/>
              </w:rPr>
              <w:t>).</w:t>
            </w:r>
          </w:p>
          <w:p w14:paraId="34A2A9A1" w14:textId="16172FBF" w:rsidR="000E40EE" w:rsidRPr="00E0199A" w:rsidRDefault="000E40EE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розширення переліку ОП третього рівня на основі ідентифікації критичної маси дослідників певного напряму (наукових шкіл)</w:t>
            </w:r>
          </w:p>
          <w:p w14:paraId="30424CB1" w14:textId="596BC4EC" w:rsidR="000E40EE" w:rsidRPr="00E0199A" w:rsidRDefault="000E40EE" w:rsidP="00E90E69">
            <w:pPr>
              <w:pStyle w:val="ListParagraph"/>
              <w:suppressLineNumbers/>
              <w:tabs>
                <w:tab w:val="left" w:pos="142"/>
                <w:tab w:val="left" w:pos="264"/>
                <w:tab w:val="left" w:pos="420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A41BD" w:rsidRPr="00E0199A" w14:paraId="5739F180" w14:textId="77777777" w:rsidTr="005A326D">
        <w:trPr>
          <w:trHeight w:val="661"/>
        </w:trPr>
        <w:tc>
          <w:tcPr>
            <w:tcW w:w="2093" w:type="dxa"/>
          </w:tcPr>
          <w:p w14:paraId="5DBE076D" w14:textId="77777777" w:rsidR="007133D7" w:rsidRPr="00E0199A" w:rsidRDefault="007133D7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В.3. Розвиток міжнародного наукового обміну</w:t>
            </w:r>
          </w:p>
          <w:p w14:paraId="22A57019" w14:textId="77777777" w:rsidR="00CE07F1" w:rsidRPr="00E0199A" w:rsidRDefault="00CE07F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17DE925C" w14:textId="77777777" w:rsidR="007133D7" w:rsidRPr="00E0199A" w:rsidRDefault="007133D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В.3.1.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  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Розширення участі у міжнародних програмах та наукових проєктах;</w:t>
            </w:r>
          </w:p>
          <w:p w14:paraId="50A19582" w14:textId="77777777" w:rsidR="007133D7" w:rsidRPr="00E0199A" w:rsidRDefault="007133D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В.3.2.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  <w:lang w:val="uk-UA"/>
              </w:rPr>
              <w:t>Сприяння забезпеченню щорічного стажування науково-педагогічних працівників, здобувачів вищої освіти всіх рівнів у провідних закордонних освітньо-наукових центрах;</w:t>
            </w:r>
          </w:p>
          <w:p w14:paraId="61F17E02" w14:textId="77777777" w:rsidR="007133D7" w:rsidRPr="00E0199A" w:rsidRDefault="007133D7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В.3.3. </w:t>
            </w:r>
            <w:r w:rsidRPr="00E0199A">
              <w:rPr>
                <w:sz w:val="20"/>
                <w:szCs w:val="20"/>
                <w:lang w:val="uk-UA"/>
              </w:rPr>
              <w:t>Проведення Університетом міжнародних наукових конференцій за участю провідних вітчизняних та зарубіжних учених;</w:t>
            </w:r>
          </w:p>
          <w:p w14:paraId="3FCA4088" w14:textId="6E3E12A7" w:rsidR="00CE07F1" w:rsidRPr="00E0199A" w:rsidRDefault="007133D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lastRenderedPageBreak/>
              <w:t xml:space="preserve">В.3.4.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  <w:lang w:val="uk-UA"/>
              </w:rPr>
              <w:t xml:space="preserve">   Підтримка університетських наукових видань та створення їх електронних сайтів,  відкриття доступу до зарубіжних електронних наукових баз даних</w:t>
            </w:r>
          </w:p>
        </w:tc>
        <w:tc>
          <w:tcPr>
            <w:tcW w:w="5514" w:type="dxa"/>
          </w:tcPr>
          <w:p w14:paraId="20E10DA4" w14:textId="0585478A" w:rsidR="009B6E07" w:rsidRPr="00E0199A" w:rsidRDefault="009B6E07" w:rsidP="00E90E69">
            <w:pPr>
              <w:pStyle w:val="NormalWeb"/>
              <w:numPr>
                <w:ilvl w:val="0"/>
                <w:numId w:val="28"/>
              </w:numPr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створення проєктного </w:t>
            </w:r>
            <w:r w:rsidR="00B57DD0" w:rsidRPr="00E0199A">
              <w:rPr>
                <w:sz w:val="20"/>
                <w:szCs w:val="20"/>
                <w:lang w:val="uk-UA"/>
              </w:rPr>
              <w:t>офісу</w:t>
            </w:r>
            <w:r w:rsidRPr="00E0199A">
              <w:rPr>
                <w:sz w:val="20"/>
                <w:szCs w:val="20"/>
                <w:lang w:val="uk-UA"/>
              </w:rPr>
              <w:t xml:space="preserve"> у структурі </w:t>
            </w:r>
            <w:r w:rsidRPr="00E0199A">
              <w:rPr>
                <w:bCs/>
                <w:sz w:val="20"/>
                <w:szCs w:val="20"/>
                <w:lang w:val="uk-UA"/>
              </w:rPr>
              <w:t>Центру міжнародної освіти</w:t>
            </w:r>
            <w:r w:rsidRPr="00E0199A">
              <w:rPr>
                <w:sz w:val="20"/>
                <w:szCs w:val="20"/>
                <w:lang w:val="uk-UA"/>
              </w:rPr>
              <w:t xml:space="preserve"> задля підвищення якості підготовки проєктних заявок та реалізації спільних міжнародних наукових проєктів;</w:t>
            </w:r>
          </w:p>
          <w:p w14:paraId="3592D6A8" w14:textId="6516220B" w:rsidR="009B6E07" w:rsidRPr="00E0199A" w:rsidRDefault="009B6E07" w:rsidP="00E90E69">
            <w:pPr>
              <w:pStyle w:val="NormalWeb"/>
              <w:numPr>
                <w:ilvl w:val="0"/>
                <w:numId w:val="28"/>
              </w:numPr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долучення дослідників МДУ до міжнародних наукових програм, зокрема програми ЄС «Горизонт Європа»; </w:t>
            </w:r>
          </w:p>
          <w:p w14:paraId="7F52F1D6" w14:textId="1D24E095" w:rsidR="009B6E07" w:rsidRPr="00E0199A" w:rsidRDefault="009B6E07" w:rsidP="00E90E69">
            <w:pPr>
              <w:pStyle w:val="NormalWeb"/>
              <w:numPr>
                <w:ilvl w:val="0"/>
                <w:numId w:val="28"/>
              </w:numPr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сприяння участі науковців у міжнародних наукових конференціях (особливо за кордоном) та активізація роботи з проведення міжнародних наукових заходів (конгресів, симпозіумів, форумів, конференцій) за участю МДУ.</w:t>
            </w:r>
          </w:p>
          <w:p w14:paraId="3946A475" w14:textId="32FF29E0" w:rsidR="000E40EE" w:rsidRPr="00E0199A" w:rsidRDefault="000E40EE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</w:p>
          <w:p w14:paraId="2C14A53D" w14:textId="77777777" w:rsidR="00196137" w:rsidRPr="00E0199A" w:rsidRDefault="0019613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</w:p>
          <w:p w14:paraId="2F13F0CC" w14:textId="77777777" w:rsidR="00196137" w:rsidRPr="00E0199A" w:rsidRDefault="0019613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</w:p>
          <w:p w14:paraId="4D1A65E4" w14:textId="4D3C3120" w:rsidR="00196137" w:rsidRPr="00E0199A" w:rsidRDefault="00196137" w:rsidP="00E90E69">
            <w:pPr>
              <w:pStyle w:val="NormalWeb"/>
              <w:suppressLineNumbers/>
              <w:tabs>
                <w:tab w:val="left" w:pos="563"/>
                <w:tab w:val="left" w:pos="7913"/>
              </w:tabs>
              <w:suppressAutoHyphens/>
              <w:spacing w:before="0" w:beforeAutospacing="0" w:after="0" w:afterAutospacing="0"/>
              <w:ind w:left="60" w:firstLine="142"/>
              <w:jc w:val="both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5C7CB188" w14:textId="2AC86CC7" w:rsidR="007A57AC" w:rsidRPr="00E0199A" w:rsidRDefault="007A57A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позитивна динаміка кількості міжнародних проєктів, прийнятих до реалізаці</w:t>
            </w:r>
            <w:r w:rsidR="000D0740" w:rsidRPr="00E0199A">
              <w:rPr>
                <w:sz w:val="20"/>
                <w:szCs w:val="20"/>
                <w:lang w:val="uk-UA"/>
              </w:rPr>
              <w:t>ї</w:t>
            </w:r>
            <w:r w:rsidRPr="00E0199A">
              <w:rPr>
                <w:sz w:val="20"/>
                <w:szCs w:val="20"/>
                <w:lang w:val="uk-UA"/>
              </w:rPr>
              <w:t xml:space="preserve"> міжнародними організаціями; </w:t>
            </w:r>
          </w:p>
          <w:p w14:paraId="22E5DA59" w14:textId="6601CE0E" w:rsidR="007A57AC" w:rsidRPr="00E0199A" w:rsidRDefault="007A57A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збільшення обсягів фінансування, залученого за рахунок реалізації міжнародних проєктів дослідницького характеру; </w:t>
            </w:r>
          </w:p>
          <w:p w14:paraId="78561309" w14:textId="6E4ADF07" w:rsidR="007A57AC" w:rsidRPr="00E0199A" w:rsidRDefault="007A57AC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кількість науковців університету, що беруть участь у </w:t>
            </w:r>
            <w:r w:rsidR="00CB3A9A" w:rsidRPr="00E0199A">
              <w:rPr>
                <w:sz w:val="20"/>
                <w:szCs w:val="20"/>
                <w:lang w:val="uk-UA"/>
              </w:rPr>
              <w:t>короткострокових/</w:t>
            </w:r>
            <w:r w:rsidR="005A326D" w:rsidRPr="00E0199A">
              <w:rPr>
                <w:sz w:val="20"/>
                <w:szCs w:val="20"/>
                <w:lang w:val="uk-UA"/>
              </w:rPr>
              <w:t xml:space="preserve"> </w:t>
            </w:r>
            <w:r w:rsidR="00CB3A9A" w:rsidRPr="00E0199A">
              <w:rPr>
                <w:sz w:val="20"/>
                <w:szCs w:val="20"/>
                <w:lang w:val="uk-UA"/>
              </w:rPr>
              <w:t xml:space="preserve">довгострокових  міжнародних дослідницьких програмах, </w:t>
            </w:r>
            <w:r w:rsidRPr="00E0199A">
              <w:rPr>
                <w:sz w:val="20"/>
                <w:szCs w:val="20"/>
                <w:lang w:val="uk-UA"/>
              </w:rPr>
              <w:t>міжнародних конференціях та форумах</w:t>
            </w:r>
            <w:r w:rsidR="00CB3A9A" w:rsidRPr="00E0199A">
              <w:rPr>
                <w:sz w:val="20"/>
                <w:szCs w:val="20"/>
                <w:lang w:val="uk-UA"/>
              </w:rPr>
              <w:t xml:space="preserve"> тощо.</w:t>
            </w:r>
          </w:p>
          <w:p w14:paraId="42419512" w14:textId="77777777" w:rsidR="00CB3A9A" w:rsidRPr="00E0199A" w:rsidRDefault="00CB3A9A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60" w:firstLine="142"/>
              <w:jc w:val="both"/>
              <w:rPr>
                <w:sz w:val="20"/>
                <w:szCs w:val="20"/>
                <w:lang w:val="uk-UA"/>
              </w:rPr>
            </w:pPr>
          </w:p>
          <w:p w14:paraId="08C3B66C" w14:textId="6900A8F5" w:rsidR="00CB3A9A" w:rsidRPr="00E0199A" w:rsidRDefault="00CB3A9A" w:rsidP="00E90E69">
            <w:p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60" w:firstLine="142"/>
              <w:contextualSpacing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A41BD" w:rsidRPr="00E0199A" w14:paraId="56E11932" w14:textId="77777777" w:rsidTr="00CE07F1">
        <w:trPr>
          <w:trHeight w:val="945"/>
        </w:trPr>
        <w:tc>
          <w:tcPr>
            <w:tcW w:w="2093" w:type="dxa"/>
          </w:tcPr>
          <w:p w14:paraId="678072D3" w14:textId="77777777" w:rsidR="007133D7" w:rsidRPr="00E0199A" w:rsidRDefault="007133D7" w:rsidP="00E90E69">
            <w:pPr>
              <w:suppressLineNumbers/>
              <w:shd w:val="clear" w:color="auto" w:fill="FFFFFF"/>
              <w:suppressAutoHyphens/>
              <w:spacing w:after="0" w:line="240" w:lineRule="auto"/>
              <w:contextualSpacing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В.4. 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Удосконалення інформаційного  забезпечення розвитку науки    </w:t>
            </w:r>
          </w:p>
          <w:p w14:paraId="07DC3C28" w14:textId="77777777" w:rsidR="00CE07F1" w:rsidRPr="00E0199A" w:rsidRDefault="00CE07F1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4D534270" w14:textId="77777777" w:rsidR="007133D7" w:rsidRPr="00E0199A" w:rsidRDefault="007133D7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В.4.1.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Інтеграція університетської науки до світового наукового простору та підвищення рейтингу її оцінювання</w:t>
            </w:r>
          </w:p>
          <w:p w14:paraId="0E28A2F9" w14:textId="5FE63C8A" w:rsidR="007133D7" w:rsidRPr="00E0199A" w:rsidRDefault="007133D7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В.4.2.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Розширення асортименту послуг наукової бібліотеки;</w:t>
            </w:r>
          </w:p>
          <w:p w14:paraId="4800ED98" w14:textId="4A346DFE" w:rsidR="007133D7" w:rsidRPr="00E0199A" w:rsidRDefault="007133D7" w:rsidP="00E90E69">
            <w:pPr>
              <w:pStyle w:val="ListParagraph"/>
              <w:suppressLineNumbers/>
              <w:tabs>
                <w:tab w:val="left" w:pos="1050"/>
              </w:tabs>
              <w:suppressAutoHyphens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В.4.3.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="00254091" w:rsidRPr="00E0199A">
              <w:rPr>
                <w:rFonts w:eastAsia="Calibri"/>
                <w:sz w:val="20"/>
                <w:szCs w:val="20"/>
                <w:lang w:val="uk-UA"/>
              </w:rPr>
              <w:t>Інтеграція науки університету до світової наукової комунікації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;</w:t>
            </w:r>
          </w:p>
          <w:p w14:paraId="66A7B077" w14:textId="77777777" w:rsidR="007133D7" w:rsidRPr="00E0199A" w:rsidRDefault="007133D7" w:rsidP="00E90E69">
            <w:pPr>
              <w:suppressLineNumbers/>
              <w:tabs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В.4.4.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 Інформаційно-ресурсна підтримка науковців університету;</w:t>
            </w:r>
          </w:p>
          <w:p w14:paraId="26FC928A" w14:textId="2CE55476" w:rsidR="00CE07F1" w:rsidRPr="00E0199A" w:rsidRDefault="007133D7" w:rsidP="00E90E69">
            <w:pPr>
              <w:suppressLineNumbers/>
              <w:shd w:val="clear" w:color="auto" w:fill="FFFFFF"/>
              <w:tabs>
                <w:tab w:val="left" w:pos="540"/>
              </w:tabs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В.4.5.  Підвищення цитування публікацій  науковців університету.</w:t>
            </w:r>
          </w:p>
        </w:tc>
        <w:tc>
          <w:tcPr>
            <w:tcW w:w="5514" w:type="dxa"/>
          </w:tcPr>
          <w:p w14:paraId="79B41454" w14:textId="495AF79E" w:rsidR="00733002" w:rsidRPr="00E0199A" w:rsidRDefault="00733002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02"/>
                <w:tab w:val="left" w:pos="720"/>
              </w:tabs>
              <w:suppressAutoHyphens/>
              <w:spacing w:after="0" w:line="240" w:lineRule="auto"/>
              <w:ind w:left="60" w:firstLine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Посилення міжнародної складової діяльності наукової бібліотеки МДУ; </w:t>
            </w:r>
          </w:p>
          <w:p w14:paraId="2C6F7B90" w14:textId="1B50BCF6" w:rsidR="00733002" w:rsidRPr="00E0199A" w:rsidRDefault="00733002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02"/>
                <w:tab w:val="left" w:pos="720"/>
              </w:tabs>
              <w:suppressAutoHyphens/>
              <w:spacing w:after="0" w:line="240" w:lineRule="auto"/>
              <w:ind w:left="60" w:firstLine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Розвиток електронного репозитарію МДУ; </w:t>
            </w:r>
          </w:p>
          <w:p w14:paraId="0485094A" w14:textId="64DD6DD3" w:rsidR="00733002" w:rsidRPr="00E0199A" w:rsidRDefault="00733002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02"/>
                <w:tab w:val="left" w:pos="720"/>
              </w:tabs>
              <w:suppressAutoHyphens/>
              <w:spacing w:after="0" w:line="240" w:lineRule="auto"/>
              <w:ind w:left="60" w:firstLine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Інтеграція Вісника МДУ у світовий науковий простір; </w:t>
            </w:r>
          </w:p>
          <w:p w14:paraId="428E80F7" w14:textId="7E488499" w:rsidR="00237484" w:rsidRPr="00E0199A" w:rsidRDefault="00733002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202"/>
                <w:tab w:val="left" w:pos="720"/>
              </w:tabs>
              <w:suppressAutoHyphens/>
              <w:spacing w:after="0" w:line="240" w:lineRule="auto"/>
              <w:ind w:left="60" w:firstLine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Просування наукових публікації науковців університету в авторитетних міжнародних і національних виданнях.</w:t>
            </w:r>
          </w:p>
        </w:tc>
        <w:tc>
          <w:tcPr>
            <w:tcW w:w="5570" w:type="dxa"/>
          </w:tcPr>
          <w:p w14:paraId="64BE1B05" w14:textId="679ACABE" w:rsidR="004B2B35" w:rsidRPr="00E0199A" w:rsidRDefault="004B2B35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02"/>
                <w:tab w:val="left" w:pos="2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збільшення кількості статей у фахових виданнях України та за кордоном (з них у виданнях, що індексуються у наукометричних базах даних </w:t>
            </w:r>
            <w:r w:rsidRPr="00E0199A">
              <w:rPr>
                <w:sz w:val="20"/>
                <w:szCs w:val="20"/>
              </w:rPr>
              <w:t>Scopus</w:t>
            </w:r>
            <w:r w:rsidRPr="00E0199A">
              <w:rPr>
                <w:sz w:val="20"/>
                <w:szCs w:val="20"/>
                <w:lang w:val="uk-UA"/>
              </w:rPr>
              <w:t xml:space="preserve"> та </w:t>
            </w:r>
            <w:r w:rsidRPr="00E0199A">
              <w:rPr>
                <w:sz w:val="20"/>
                <w:szCs w:val="20"/>
              </w:rPr>
              <w:t>Web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</w:rPr>
              <w:t>of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</w:rPr>
              <w:t>Science</w:t>
            </w:r>
            <w:r w:rsidRPr="00E0199A">
              <w:rPr>
                <w:sz w:val="20"/>
                <w:szCs w:val="20"/>
                <w:lang w:val="uk-UA"/>
              </w:rPr>
              <w:t xml:space="preserve">); </w:t>
            </w:r>
          </w:p>
          <w:p w14:paraId="0DE1B0FB" w14:textId="3860D8FB" w:rsidR="004B2B35" w:rsidRPr="00E0199A" w:rsidRDefault="004B2B35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02"/>
                <w:tab w:val="left" w:pos="2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зростання індексу цитування вчених університету у наукометричних базах даних; </w:t>
            </w:r>
          </w:p>
          <w:p w14:paraId="491FE8B0" w14:textId="7670D59E" w:rsidR="004B2B35" w:rsidRPr="00E0199A" w:rsidRDefault="004B2B35" w:rsidP="00E90E69">
            <w:pPr>
              <w:pStyle w:val="ListParagraph"/>
              <w:numPr>
                <w:ilvl w:val="0"/>
                <w:numId w:val="28"/>
              </w:numPr>
              <w:suppressLineNumbers/>
              <w:tabs>
                <w:tab w:val="left" w:pos="142"/>
                <w:tab w:val="left" w:pos="202"/>
                <w:tab w:val="left" w:pos="28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зростання рейтингу Вісника МДУ за серіями у міжнародних наукометричних базах даних; </w:t>
            </w:r>
          </w:p>
          <w:p w14:paraId="6FF64C7C" w14:textId="6A8C64AD" w:rsidR="004B2B35" w:rsidRPr="00E0199A" w:rsidRDefault="004B2B35" w:rsidP="00E90E69">
            <w:pPr>
              <w:pStyle w:val="ListParagraph"/>
              <w:suppressLineNumbers/>
              <w:tabs>
                <w:tab w:val="left" w:pos="142"/>
                <w:tab w:val="left" w:pos="202"/>
                <w:tab w:val="left" w:pos="284"/>
              </w:tabs>
              <w:suppressAutoHyphens/>
              <w:spacing w:after="0" w:line="240" w:lineRule="auto"/>
              <w:ind w:left="60"/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51267411" w14:textId="5D03483D" w:rsidR="0039005E" w:rsidRDefault="0039005E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</w:p>
    <w:p w14:paraId="3EB80016" w14:textId="77777777" w:rsidR="0022139D" w:rsidRDefault="0022139D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</w:p>
    <w:p w14:paraId="18F359F7" w14:textId="0FD08D3C" w:rsidR="00C37450" w:rsidRPr="00E0199A" w:rsidRDefault="00C37450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5848CD" w:rsidRPr="00E0199A">
        <w:rPr>
          <w:b/>
          <w:bCs/>
          <w:sz w:val="20"/>
          <w:szCs w:val="20"/>
          <w:lang w:val="uk-UA"/>
        </w:rPr>
        <w:t>С</w:t>
      </w:r>
      <w:r w:rsidRPr="00E0199A">
        <w:rPr>
          <w:b/>
          <w:bCs/>
          <w:sz w:val="20"/>
          <w:szCs w:val="20"/>
          <w:lang w:val="uk-UA"/>
        </w:rPr>
        <w:t xml:space="preserve">. </w:t>
      </w:r>
      <w:r w:rsidR="00CD45E2" w:rsidRPr="00E0199A">
        <w:rPr>
          <w:b/>
          <w:bCs/>
          <w:sz w:val="20"/>
          <w:szCs w:val="20"/>
          <w:lang w:val="uk-UA"/>
        </w:rPr>
        <w:t>ІНТЕРНАЦІОНАЛІЗАЦІЯ ТА МІЖНАРОДНЕ СПІВРОБІТНИЦТВО</w:t>
      </w:r>
    </w:p>
    <w:p w14:paraId="0A99BB8B" w14:textId="05050784" w:rsidR="009B0AAA" w:rsidRPr="00E0199A" w:rsidRDefault="009B0AAA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3D23C6" w:rsidRPr="00E0199A" w14:paraId="15AE726C" w14:textId="77777777" w:rsidTr="00A94EB6">
        <w:tc>
          <w:tcPr>
            <w:tcW w:w="2093" w:type="dxa"/>
          </w:tcPr>
          <w:p w14:paraId="3E933F5C" w14:textId="77777777" w:rsidR="00B819D6" w:rsidRPr="00E0199A" w:rsidRDefault="00B819D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31F27DF2" w14:textId="77777777" w:rsidR="00B819D6" w:rsidRPr="00E0199A" w:rsidRDefault="00B819D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44D4849E" w14:textId="2EBB1D4D" w:rsidR="00B819D6" w:rsidRPr="00E90E69" w:rsidRDefault="00E90E69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</w:t>
            </w:r>
          </w:p>
        </w:tc>
        <w:tc>
          <w:tcPr>
            <w:tcW w:w="5570" w:type="dxa"/>
          </w:tcPr>
          <w:p w14:paraId="27F06C67" w14:textId="77777777" w:rsidR="00B819D6" w:rsidRPr="00E0199A" w:rsidRDefault="00B819D6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4D7B7E70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90E69" w:rsidRPr="00E0199A" w14:paraId="4C19A322" w14:textId="77777777" w:rsidTr="00A94EB6">
        <w:tc>
          <w:tcPr>
            <w:tcW w:w="2093" w:type="dxa"/>
          </w:tcPr>
          <w:p w14:paraId="5529615B" w14:textId="77777777" w:rsidR="00E90E69" w:rsidRPr="00E0199A" w:rsidRDefault="00E90E69" w:rsidP="0014348A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С.1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Поглиблення інтеграції Університету до європейського і світового освітньо-наукового простору</w:t>
            </w:r>
          </w:p>
          <w:p w14:paraId="056E7C0C" w14:textId="77777777" w:rsidR="00E90E69" w:rsidRPr="00E0199A" w:rsidRDefault="00E90E6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2F88C25E" w14:textId="77777777" w:rsidR="00E90E69" w:rsidRPr="00E0199A" w:rsidRDefault="00E90E69" w:rsidP="0014348A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С.1.1. д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осягнення </w:t>
            </w:r>
            <w:r w:rsidRPr="00E0199A">
              <w:rPr>
                <w:sz w:val="20"/>
                <w:szCs w:val="20"/>
                <w:lang w:val="uk-UA"/>
              </w:rPr>
              <w:t xml:space="preserve">європейських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стандартів якості освіти; </w:t>
            </w:r>
          </w:p>
          <w:p w14:paraId="2C954F9D" w14:textId="77777777" w:rsidR="00E90E69" w:rsidRPr="00E0199A" w:rsidRDefault="00E90E69" w:rsidP="0014348A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С.1.2.гармонізація навчальних планів з навчальними планами провідних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lastRenderedPageBreak/>
              <w:t>європейських університетів за відповідними освітніми програмами;</w:t>
            </w:r>
          </w:p>
          <w:p w14:paraId="7A999C3E" w14:textId="771C0E1A" w:rsidR="00E90E69" w:rsidRPr="00E0199A" w:rsidRDefault="00E90E69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С.1.3. розширення напрямів спільних наукових досліджень </w:t>
            </w:r>
          </w:p>
        </w:tc>
        <w:tc>
          <w:tcPr>
            <w:tcW w:w="5514" w:type="dxa"/>
          </w:tcPr>
          <w:p w14:paraId="0A55F402" w14:textId="77777777" w:rsidR="00E90E69" w:rsidRPr="00E0199A" w:rsidRDefault="00E90E69" w:rsidP="0014348A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202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розробка та впровадження стратегії інтернаціоналізації; </w:t>
            </w:r>
          </w:p>
          <w:p w14:paraId="1E7EAE3F" w14:textId="77777777" w:rsidR="00E90E69" w:rsidRPr="00E0199A" w:rsidRDefault="00E90E69" w:rsidP="0014348A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202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удосконалення власної моделі міжнародної діяльності Університету задля посилення позицій МДУ у міжнародному освітньо-науковому просторі; </w:t>
            </w:r>
          </w:p>
          <w:p w14:paraId="71FE6C0B" w14:textId="77777777" w:rsidR="00E90E69" w:rsidRDefault="00E90E69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202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інтенсифікація участі Університету в міжнародних програмах академічної мобільності; </w:t>
            </w:r>
          </w:p>
          <w:p w14:paraId="720BE617" w14:textId="4883C9D9" w:rsidR="00E90E69" w:rsidRPr="00E90E69" w:rsidRDefault="00E90E69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202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90E69">
              <w:rPr>
                <w:sz w:val="20"/>
                <w:szCs w:val="20"/>
                <w:lang w:val="uk-UA"/>
              </w:rPr>
              <w:t>збільшення кількості іноземних здобувачів освіти та розширення переліку країн, з яких залучаються іноземці.</w:t>
            </w:r>
          </w:p>
        </w:tc>
        <w:tc>
          <w:tcPr>
            <w:tcW w:w="5570" w:type="dxa"/>
          </w:tcPr>
          <w:p w14:paraId="5FBD0BDC" w14:textId="77777777" w:rsidR="00E90E69" w:rsidRPr="00E0199A" w:rsidRDefault="00E90E69" w:rsidP="0014348A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02"/>
                <w:tab w:val="left" w:pos="284"/>
                <w:tab w:val="left" w:pos="364"/>
              </w:tabs>
              <w:suppressAutoHyphens/>
              <w:spacing w:after="0" w:line="240" w:lineRule="auto"/>
              <w:ind w:left="81" w:firstLine="14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збільшення обсягів фінансування, залученого за рахунок реалізації міжнародних проєктів дослідницького характеру; </w:t>
            </w:r>
          </w:p>
          <w:p w14:paraId="63D69F23" w14:textId="77777777" w:rsidR="00E90E69" w:rsidRDefault="00E90E69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02"/>
                <w:tab w:val="left" w:pos="284"/>
                <w:tab w:val="left" w:pos="364"/>
              </w:tabs>
              <w:suppressAutoHyphens/>
              <w:spacing w:after="0" w:line="240" w:lineRule="auto"/>
              <w:ind w:left="81" w:firstLine="14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зростання кількості учасників програм академічної мобільності (викладачів, дослідників, здобувачів освіти); </w:t>
            </w:r>
          </w:p>
          <w:p w14:paraId="4D86EC07" w14:textId="3BA3F255" w:rsidR="00E90E69" w:rsidRPr="00E90E69" w:rsidRDefault="00E90E69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02"/>
                <w:tab w:val="left" w:pos="284"/>
                <w:tab w:val="left" w:pos="364"/>
              </w:tabs>
              <w:suppressAutoHyphens/>
              <w:spacing w:after="0" w:line="240" w:lineRule="auto"/>
              <w:ind w:left="81" w:firstLine="141"/>
              <w:jc w:val="both"/>
              <w:rPr>
                <w:sz w:val="20"/>
                <w:szCs w:val="20"/>
                <w:lang w:val="uk-UA"/>
              </w:rPr>
            </w:pPr>
            <w:r w:rsidRPr="00E90E69">
              <w:rPr>
                <w:sz w:val="20"/>
                <w:szCs w:val="20"/>
                <w:lang w:val="uk-UA"/>
              </w:rPr>
              <w:t>збільшення контингенту іноземних здобувачів вищої освіти.</w:t>
            </w:r>
          </w:p>
        </w:tc>
      </w:tr>
      <w:tr w:rsidR="00B819D6" w:rsidRPr="00E0199A" w14:paraId="6E178EAE" w14:textId="77777777" w:rsidTr="00906E69">
        <w:trPr>
          <w:trHeight w:val="50"/>
        </w:trPr>
        <w:tc>
          <w:tcPr>
            <w:tcW w:w="2093" w:type="dxa"/>
          </w:tcPr>
          <w:p w14:paraId="1606342C" w14:textId="77777777" w:rsidR="00B819D6" w:rsidRPr="00E0199A" w:rsidRDefault="00B819D6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С.2.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Розвиток та урізноманітнення форм міжнародного співробітництва</w:t>
            </w:r>
          </w:p>
        </w:tc>
        <w:tc>
          <w:tcPr>
            <w:tcW w:w="2269" w:type="dxa"/>
          </w:tcPr>
          <w:p w14:paraId="070C317D" w14:textId="77777777" w:rsidR="00B819D6" w:rsidRPr="00E0199A" w:rsidRDefault="00B819D6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С.2.1. розширення у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часті викладачів і студентів у міжнародних конференціях, форумах, симпозіумах тощо;</w:t>
            </w:r>
          </w:p>
          <w:p w14:paraId="79D3300B" w14:textId="77777777" w:rsidR="00B819D6" w:rsidRPr="00E0199A" w:rsidRDefault="00B819D6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С.2.2. створення нових міжнародних центрів за підтримки іноземних партнерів</w:t>
            </w:r>
          </w:p>
          <w:p w14:paraId="7DCCCE60" w14:textId="2C1869D9" w:rsidR="00B819D6" w:rsidRPr="00E0199A" w:rsidRDefault="00B819D6" w:rsidP="00E90E69">
            <w:pPr>
              <w:suppressLineNumbers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С.2.3. розвиток спільної видавничої діяльності із зарубіжними партнерами</w:t>
            </w:r>
          </w:p>
        </w:tc>
        <w:tc>
          <w:tcPr>
            <w:tcW w:w="5514" w:type="dxa"/>
          </w:tcPr>
          <w:p w14:paraId="4C286E10" w14:textId="4305C660" w:rsidR="009E628C" w:rsidRPr="00E0199A" w:rsidRDefault="009E628C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відкриття нових міжнародних наукових, освітніх та культурних центрів, створених на базі Університету спільно з закордонними партнерами;</w:t>
            </w:r>
          </w:p>
          <w:p w14:paraId="31CE5868" w14:textId="4F983042" w:rsidR="00CD706A" w:rsidRPr="00E0199A" w:rsidRDefault="009E628C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моніторинг міжнародного ринку науково-дослідних і освітніх послуг.</w:t>
            </w:r>
          </w:p>
          <w:p w14:paraId="109D289A" w14:textId="1C803696" w:rsidR="006C04FF" w:rsidRPr="00E0199A" w:rsidRDefault="006C04FF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запровадження інтернаціональної компоненти в усіх освітніх програмах університету</w:t>
            </w:r>
          </w:p>
          <w:p w14:paraId="35163EFF" w14:textId="228BC1E9" w:rsidR="006C04FF" w:rsidRPr="00E0199A" w:rsidRDefault="006C04FF" w:rsidP="00E90E69">
            <w:pPr>
              <w:pStyle w:val="ListParagraph"/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7D037B23" w14:textId="7DBACD77" w:rsidR="00271222" w:rsidRPr="00E0199A" w:rsidRDefault="00271222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динаміка міжнародних проєктів, прийнятих до реалізації міжнародними організаціями; </w:t>
            </w:r>
          </w:p>
          <w:p w14:paraId="39E852E1" w14:textId="0269382F" w:rsidR="00271222" w:rsidRPr="00E0199A" w:rsidRDefault="00271222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кількість наукових, освітніх проєктів і програм, учасником яких є МДУ; </w:t>
            </w:r>
          </w:p>
          <w:p w14:paraId="6D872528" w14:textId="199D108F" w:rsidR="00271222" w:rsidRPr="00E0199A" w:rsidRDefault="00271222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динаміка кількості учасників міжнародних програм і проєктів;</w:t>
            </w:r>
          </w:p>
          <w:p w14:paraId="3E3815C3" w14:textId="3990FB3E" w:rsidR="0022139D" w:rsidRPr="00E0199A" w:rsidRDefault="00271222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динаміка кількості ОП із інтернаціональною складовою</w:t>
            </w:r>
          </w:p>
          <w:p w14:paraId="74A95C66" w14:textId="150FF67B" w:rsidR="00271222" w:rsidRPr="00E0199A" w:rsidRDefault="0022139D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b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досягнення параметрів достатнього рівня по освітнім компонентам, що забезпечуються на умовах інтернаціоналізації</w:t>
            </w:r>
            <w:r w:rsidRPr="00E0199A">
              <w:rPr>
                <w:b/>
                <w:sz w:val="20"/>
                <w:szCs w:val="20"/>
                <w:lang w:val="uk-UA"/>
              </w:rPr>
              <w:t xml:space="preserve"> </w:t>
            </w:r>
            <w:r w:rsidR="00E25A67" w:rsidRPr="00E0199A">
              <w:rPr>
                <w:bCs/>
                <w:sz w:val="20"/>
                <w:szCs w:val="20"/>
                <w:lang w:val="uk-UA"/>
              </w:rPr>
              <w:t>(</w:t>
            </w:r>
            <w:r w:rsidR="00097671" w:rsidRPr="00E0199A">
              <w:rPr>
                <w:bCs/>
                <w:sz w:val="20"/>
                <w:szCs w:val="20"/>
                <w:lang w:val="uk-UA"/>
              </w:rPr>
              <w:t xml:space="preserve">відповідно до стратегії інтернаціоналізації) </w:t>
            </w:r>
          </w:p>
          <w:p w14:paraId="317B9BDF" w14:textId="53B8A462" w:rsidR="00271222" w:rsidRPr="00E0199A" w:rsidRDefault="00271222" w:rsidP="00E90E69">
            <w:pPr>
              <w:pStyle w:val="ListParagraph"/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819D6" w:rsidRPr="00E0199A" w14:paraId="4CFC7068" w14:textId="77777777" w:rsidTr="00E90E69">
        <w:trPr>
          <w:trHeight w:val="519"/>
        </w:trPr>
        <w:tc>
          <w:tcPr>
            <w:tcW w:w="2093" w:type="dxa"/>
          </w:tcPr>
          <w:p w14:paraId="18C98CCB" w14:textId="77777777" w:rsidR="00B819D6" w:rsidRPr="00E0199A" w:rsidRDefault="00B819D6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С.3.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 Забезпечення якісної і стабільної  реалізації міжнародних програм </w:t>
            </w:r>
          </w:p>
          <w:p w14:paraId="072B0AA9" w14:textId="77777777" w:rsidR="00B819D6" w:rsidRPr="00E0199A" w:rsidRDefault="00B819D6" w:rsidP="00E90E69">
            <w:pPr>
              <w:suppressLineNumbers/>
              <w:tabs>
                <w:tab w:val="left" w:pos="1050"/>
              </w:tabs>
              <w:suppressAutoHyphens/>
              <w:spacing w:after="0" w:line="240" w:lineRule="auto"/>
              <w:ind w:left="-142" w:right="-17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1944B0BE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С.3.1.розширення кола нових міжнародних партнерів і пролонгація вже існуючих угод про співробітництво;</w:t>
            </w:r>
          </w:p>
          <w:p w14:paraId="7B3D171A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С.3.2. підвищення міжнародної академічної мобільності студентів, аспірантів та професорсько-викладацького складу;</w:t>
            </w:r>
          </w:p>
          <w:p w14:paraId="3BB917D4" w14:textId="1CA1167A" w:rsidR="00B713CF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3.3. активізація участі викладачів і студентів у різних грантових про</w:t>
            </w:r>
            <w:r w:rsidR="00CD706A" w:rsidRPr="00E0199A">
              <w:rPr>
                <w:rFonts w:eastAsia="Calibri"/>
                <w:sz w:val="20"/>
                <w:szCs w:val="20"/>
                <w:lang w:val="uk-UA"/>
              </w:rPr>
              <w:t>є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ктах і програмах міжнародних організацій та співтовариств (Еразмус+ </w:t>
            </w:r>
            <w:r w:rsidR="00B713CF" w:rsidRPr="00E0199A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="00B713CF" w:rsidRPr="00E0199A">
              <w:rPr>
                <w:rFonts w:eastAsia="Calibri"/>
                <w:sz w:val="20"/>
                <w:szCs w:val="20"/>
                <w:lang w:val="en-US"/>
              </w:rPr>
              <w:t>Fulbright</w:t>
            </w:r>
            <w:r w:rsidR="00B713CF" w:rsidRPr="00E0199A">
              <w:rPr>
                <w:sz w:val="20"/>
                <w:szCs w:val="20"/>
                <w:lang w:val="uk-UA"/>
              </w:rPr>
              <w:t xml:space="preserve">, </w:t>
            </w:r>
            <w:r w:rsidR="00B713CF" w:rsidRPr="00E0199A">
              <w:rPr>
                <w:iCs/>
                <w:sz w:val="20"/>
                <w:szCs w:val="20"/>
              </w:rPr>
              <w:lastRenderedPageBreak/>
              <w:t>USAID</w:t>
            </w:r>
            <w:r w:rsidR="00B713CF" w:rsidRPr="00E0199A">
              <w:rPr>
                <w:iCs/>
                <w:sz w:val="20"/>
                <w:szCs w:val="20"/>
                <w:lang w:val="uk-UA"/>
              </w:rPr>
              <w:t>, Британської ради, DAAD, міжурядових дослідницьких проєктів</w:t>
            </w:r>
          </w:p>
          <w:p w14:paraId="768CA565" w14:textId="5F397E8F" w:rsidR="00D27172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та інших).</w:t>
            </w:r>
          </w:p>
        </w:tc>
        <w:tc>
          <w:tcPr>
            <w:tcW w:w="55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8"/>
            </w:tblGrid>
            <w:tr w:rsidR="00E927C2" w:rsidRPr="00E0199A" w14:paraId="60A0F681" w14:textId="77777777" w:rsidTr="0043609F">
              <w:trPr>
                <w:trHeight w:val="3492"/>
              </w:trPr>
              <w:tc>
                <w:tcPr>
                  <w:tcW w:w="0" w:type="auto"/>
                </w:tcPr>
                <w:p w14:paraId="3418D24E" w14:textId="39F421BA" w:rsidR="00320F7B" w:rsidRPr="00E0199A" w:rsidRDefault="009B7A1C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0" w:firstLine="0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lastRenderedPageBreak/>
                    <w:t xml:space="preserve">розширення 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>переліку проєктних та грантових заявок із диверсифік</w:t>
                  </w:r>
                  <w:r w:rsidR="00D536F0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ованими джерелами фінансування 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шляхом відкриття проєктного офісу </w:t>
                  </w:r>
                  <w:r w:rsidR="00D536F0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>у Центрі міжнародної освіти МДУ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 </w:t>
                  </w:r>
                </w:p>
                <w:p w14:paraId="11A0FB7A" w14:textId="208D2530" w:rsidR="00320F7B" w:rsidRPr="00E0199A" w:rsidRDefault="009B7A1C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0" w:firstLine="0"/>
                    <w:jc w:val="both"/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</w:pPr>
                  <w:r w:rsidRPr="00E0199A">
                    <w:rPr>
                      <w:sz w:val="20"/>
                      <w:szCs w:val="20"/>
                      <w:lang w:val="uk-UA"/>
                    </w:rPr>
                    <w:t xml:space="preserve">розширення </w:t>
                  </w:r>
                  <w:r w:rsidR="00320F7B" w:rsidRPr="00E0199A">
                    <w:rPr>
                      <w:sz w:val="20"/>
                      <w:szCs w:val="20"/>
                      <w:lang w:val="uk-UA"/>
                    </w:rPr>
                    <w:t xml:space="preserve">участі університету в іміджевих проєктах в Україні та за кордоном; </w:t>
                  </w:r>
                </w:p>
                <w:p w14:paraId="36C36129" w14:textId="4F708198" w:rsidR="00CD706A" w:rsidRPr="00E0199A" w:rsidRDefault="009B7A1C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0" w:firstLine="0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sz w:val="20"/>
                      <w:szCs w:val="20"/>
                      <w:lang w:val="uk-UA"/>
                    </w:rPr>
                    <w:t xml:space="preserve">актуалізація </w:t>
                  </w:r>
                  <w:r w:rsidR="00320F7B" w:rsidRPr="00E0199A">
                    <w:rPr>
                      <w:sz w:val="20"/>
                      <w:szCs w:val="20"/>
                      <w:lang w:val="uk-UA"/>
                    </w:rPr>
                    <w:t>існуючих угод про міжнародне співробітництво;</w:t>
                  </w:r>
                </w:p>
                <w:p w14:paraId="7EAF9A41" w14:textId="5FE3DEB5" w:rsidR="0043609F" w:rsidRPr="00E0199A" w:rsidRDefault="009B7A1C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0" w:firstLine="0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розвиток 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мовних компетентностей </w:t>
                  </w:r>
                  <w:r w:rsidR="00531DA5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НПП 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 xml:space="preserve">шляхом розширення практичних заходів у рамках </w:t>
                  </w:r>
                  <w:r w:rsidR="00B57DD0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>К</w:t>
                  </w:r>
                  <w:r w:rsidR="00320F7B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>онцепції розвитку англійської мови</w:t>
                  </w:r>
                  <w:r w:rsidR="0043609F" w:rsidRPr="00E0199A">
                    <w:rPr>
                      <w:rFonts w:eastAsiaTheme="minorHAnsi"/>
                      <w:bCs/>
                      <w:sz w:val="20"/>
                      <w:szCs w:val="20"/>
                      <w:lang w:val="uk-UA" w:eastAsia="en-US"/>
                    </w:rPr>
                    <w:t>;</w:t>
                  </w:r>
                </w:p>
                <w:p w14:paraId="07822BC4" w14:textId="4710B709" w:rsidR="00320F7B" w:rsidRPr="00E0199A" w:rsidRDefault="0043609F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60" w:firstLine="0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sz w:val="20"/>
                      <w:szCs w:val="20"/>
                      <w:lang w:val="uk-UA"/>
                    </w:rPr>
                    <w:t>запровадження програм подвійних дипломів.</w:t>
                  </w:r>
                </w:p>
                <w:p w14:paraId="5E664682" w14:textId="20DA9B10" w:rsidR="00E927C2" w:rsidRPr="00E0199A" w:rsidRDefault="00996946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spacing w:after="0" w:line="240" w:lineRule="auto"/>
                    <w:ind w:left="60" w:firstLine="0"/>
                    <w:jc w:val="both"/>
                    <w:rPr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sz w:val="20"/>
                      <w:szCs w:val="20"/>
                      <w:lang w:val="uk-UA"/>
                    </w:rPr>
                    <w:t xml:space="preserve">розширення </w:t>
                  </w:r>
                  <w:r w:rsidRPr="00E0199A">
                    <w:rPr>
                      <w:iCs/>
                      <w:sz w:val="20"/>
                      <w:szCs w:val="20"/>
                      <w:lang w:val="uk-UA"/>
                    </w:rPr>
                    <w:t>участі університету в міжнародних університетських асоціаціях, консорціумах, альянсах,  діяльності міжнародних асоціацій;</w:t>
                  </w:r>
                  <w:r w:rsidR="00E927C2" w:rsidRPr="00E0199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3FD4C546" w14:textId="5415ABA2" w:rsidR="00996946" w:rsidRPr="00E0199A" w:rsidRDefault="00E927C2" w:rsidP="00E90E69">
                  <w:pPr>
                    <w:pStyle w:val="ListParagraph"/>
                    <w:numPr>
                      <w:ilvl w:val="0"/>
                      <w:numId w:val="29"/>
                    </w:numPr>
                    <w:suppressLineNumbers/>
                    <w:tabs>
                      <w:tab w:val="left" w:pos="344"/>
                    </w:tabs>
                    <w:suppressAutoHyphens/>
                    <w:spacing w:after="0" w:line="240" w:lineRule="auto"/>
                    <w:ind w:left="60" w:firstLine="0"/>
                    <w:jc w:val="both"/>
                    <w:rPr>
                      <w:iCs/>
                      <w:sz w:val="20"/>
                      <w:szCs w:val="20"/>
                      <w:lang w:val="uk-UA"/>
                    </w:rPr>
                  </w:pPr>
                  <w:r w:rsidRPr="00E0199A">
                    <w:rPr>
                      <w:sz w:val="20"/>
                      <w:szCs w:val="20"/>
                      <w:lang w:val="uk-UA"/>
                    </w:rPr>
                    <w:t>• залучення провідних іноземних вчених і фахівців до роботи у спеціалізованих вчених радах університету</w:t>
                  </w:r>
                </w:p>
              </w:tc>
            </w:tr>
          </w:tbl>
          <w:p w14:paraId="0CB1FB52" w14:textId="7ABE3DD0" w:rsidR="003D23C6" w:rsidRPr="00E0199A" w:rsidRDefault="003D23C6" w:rsidP="00E90E69">
            <w:pPr>
              <w:suppressLineNumbers/>
              <w:tabs>
                <w:tab w:val="left" w:pos="344"/>
              </w:tabs>
              <w:suppressAutoHyphens/>
              <w:spacing w:after="0" w:line="240" w:lineRule="auto"/>
              <w:ind w:left="6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B53DA3B" w14:textId="21DBB42A" w:rsidR="004E69F3" w:rsidRPr="00E0199A" w:rsidRDefault="00320F7B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позиції у міжнародних і національних освітніх рейтингах закладів вищої освіти (Топ-1000 університетів світу, рейтинг МОН України, рейтинг університетів України "Топ 200 Україна", рейтинг "Компас") (підвищення рейтингових показників); </w:t>
            </w:r>
          </w:p>
          <w:p w14:paraId="28C836FD" w14:textId="049B746C" w:rsidR="004E69F3" w:rsidRPr="00E0199A" w:rsidRDefault="00320F7B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нагород (грамот, дипломів), отриманих студентами та викладачами Університету за участь у міжнародних конкурсах, стажуваннях</w:t>
            </w:r>
            <w:r w:rsidR="004E69F3" w:rsidRPr="00E0199A">
              <w:rPr>
                <w:sz w:val="20"/>
                <w:szCs w:val="20"/>
                <w:lang w:val="uk-UA"/>
              </w:rPr>
              <w:t>;</w:t>
            </w:r>
          </w:p>
          <w:p w14:paraId="50473D46" w14:textId="5ACDF972" w:rsidR="0022139D" w:rsidRPr="00E0199A" w:rsidRDefault="00320F7B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активних угод про співробітництво, укладених із зарубіжними університетами і установами</w:t>
            </w:r>
            <w:r w:rsidR="00E25A67" w:rsidRPr="00E0199A">
              <w:rPr>
                <w:sz w:val="20"/>
                <w:szCs w:val="20"/>
                <w:lang w:val="uk-UA"/>
              </w:rPr>
              <w:t xml:space="preserve"> </w:t>
            </w:r>
          </w:p>
          <w:p w14:paraId="730812A8" w14:textId="77777777" w:rsidR="00097671" w:rsidRPr="00E0199A" w:rsidRDefault="00E25A67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інституційна активність угод</w:t>
            </w:r>
            <w:r w:rsidR="0022139D" w:rsidRPr="00E0199A">
              <w:rPr>
                <w:sz w:val="20"/>
                <w:szCs w:val="20"/>
                <w:lang w:val="uk-UA"/>
              </w:rPr>
              <w:t xml:space="preserve"> про співробітництво (</w:t>
            </w:r>
            <w:r w:rsidRPr="00E0199A">
              <w:rPr>
                <w:sz w:val="20"/>
                <w:szCs w:val="20"/>
                <w:lang w:val="uk-UA"/>
              </w:rPr>
              <w:t>прямий вплив на якість ОП</w:t>
            </w:r>
            <w:r w:rsidR="0022139D" w:rsidRPr="00E0199A">
              <w:rPr>
                <w:sz w:val="20"/>
                <w:szCs w:val="20"/>
                <w:lang w:val="uk-UA"/>
              </w:rPr>
              <w:t>/</w:t>
            </w:r>
            <w:r w:rsidRPr="00E0199A">
              <w:rPr>
                <w:sz w:val="20"/>
                <w:szCs w:val="20"/>
                <w:lang w:val="uk-UA"/>
              </w:rPr>
              <w:t xml:space="preserve"> результативність певного дослідницького проєкту; </w:t>
            </w:r>
          </w:p>
          <w:p w14:paraId="2B626F77" w14:textId="0662BA74" w:rsidR="00320F7B" w:rsidRPr="00E0199A" w:rsidRDefault="00E25A67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активності на персональному рівні </w:t>
            </w:r>
            <w:r w:rsidR="00097671" w:rsidRPr="00E0199A">
              <w:rPr>
                <w:sz w:val="20"/>
                <w:szCs w:val="20"/>
                <w:lang w:val="uk-UA"/>
              </w:rPr>
              <w:t xml:space="preserve">(зростання) </w:t>
            </w:r>
            <w:r w:rsidRPr="00E0199A">
              <w:rPr>
                <w:sz w:val="20"/>
                <w:szCs w:val="20"/>
                <w:lang w:val="uk-UA"/>
              </w:rPr>
              <w:t>- участь викладача, студента без імплементації отриманого досвіду та інституційного впливу)</w:t>
            </w:r>
            <w:r w:rsidR="004E69F3" w:rsidRPr="00E0199A">
              <w:rPr>
                <w:sz w:val="20"/>
                <w:szCs w:val="20"/>
                <w:lang w:val="uk-UA"/>
              </w:rPr>
              <w:t>;</w:t>
            </w:r>
          </w:p>
          <w:p w14:paraId="727F5030" w14:textId="0DA6F921" w:rsidR="004E69F3" w:rsidRPr="00E0199A" w:rsidRDefault="004E69F3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к</w:t>
            </w:r>
            <w:r w:rsidRPr="00E0199A">
              <w:rPr>
                <w:sz w:val="20"/>
                <w:szCs w:val="20"/>
                <w:lang w:val="uk-UA"/>
              </w:rPr>
              <w:t>ількість проєктів</w:t>
            </w:r>
            <w:r w:rsidR="00996946" w:rsidRPr="00E0199A">
              <w:rPr>
                <w:sz w:val="20"/>
                <w:szCs w:val="20"/>
                <w:lang w:val="uk-UA"/>
              </w:rPr>
              <w:t xml:space="preserve"> і грантів</w:t>
            </w:r>
            <w:r w:rsidRPr="00E0199A">
              <w:rPr>
                <w:sz w:val="20"/>
                <w:szCs w:val="20"/>
                <w:lang w:val="uk-UA"/>
              </w:rPr>
              <w:t xml:space="preserve">, </w:t>
            </w:r>
            <w:r w:rsidR="00996946" w:rsidRPr="00E0199A">
              <w:rPr>
                <w:sz w:val="20"/>
                <w:szCs w:val="20"/>
                <w:lang w:val="uk-UA"/>
              </w:rPr>
              <w:t>залучених</w:t>
            </w:r>
            <w:r w:rsidRPr="00E0199A">
              <w:rPr>
                <w:sz w:val="20"/>
                <w:szCs w:val="20"/>
                <w:lang w:val="uk-UA"/>
              </w:rPr>
              <w:t xml:space="preserve"> проєктним офісом</w:t>
            </w:r>
            <w:r w:rsidR="0043609F" w:rsidRPr="00E0199A">
              <w:rPr>
                <w:sz w:val="20"/>
                <w:szCs w:val="20"/>
                <w:lang w:val="uk-UA"/>
              </w:rPr>
              <w:t>;</w:t>
            </w:r>
          </w:p>
          <w:p w14:paraId="59C35CA8" w14:textId="59B01944" w:rsidR="0043609F" w:rsidRPr="00E0199A" w:rsidRDefault="0043609F" w:rsidP="00E90E69">
            <w:pPr>
              <w:pStyle w:val="ListParagraph"/>
              <w:numPr>
                <w:ilvl w:val="0"/>
                <w:numId w:val="29"/>
              </w:numPr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кількість програм подвійних дипломів</w:t>
            </w:r>
            <w:r w:rsidRPr="00E0199A">
              <w:rPr>
                <w:sz w:val="20"/>
                <w:szCs w:val="20"/>
                <w:lang w:val="uk-UA"/>
              </w:rPr>
              <w:t>.</w:t>
            </w:r>
          </w:p>
          <w:p w14:paraId="2303345C" w14:textId="7A0D7CF2" w:rsidR="0043609F" w:rsidRPr="00E0199A" w:rsidRDefault="0043609F" w:rsidP="00E90E69">
            <w:pPr>
              <w:pStyle w:val="ListParagraph"/>
              <w:suppressLineNumbers/>
              <w:tabs>
                <w:tab w:val="left" w:pos="142"/>
                <w:tab w:val="left" w:pos="284"/>
                <w:tab w:val="left" w:pos="344"/>
              </w:tabs>
              <w:suppressAutoHyphens/>
              <w:spacing w:after="0" w:line="240" w:lineRule="auto"/>
              <w:ind w:left="60"/>
              <w:jc w:val="both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71FA2F80" w14:textId="1CB5BCBA" w:rsidR="00B312FF" w:rsidRDefault="00B312FF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</w:p>
    <w:p w14:paraId="3C058071" w14:textId="3A1D3675" w:rsidR="00DA7615" w:rsidRPr="00E0199A" w:rsidRDefault="00DA7615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 w:firstLine="709"/>
        <w:rPr>
          <w:b/>
          <w:bCs/>
          <w:iCs/>
          <w:sz w:val="20"/>
          <w:szCs w:val="20"/>
          <w:lang w:val="uk-UA"/>
        </w:rPr>
      </w:pPr>
    </w:p>
    <w:p w14:paraId="0319AD35" w14:textId="34A2A6DB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8227A5" w:rsidRPr="00E0199A">
        <w:rPr>
          <w:b/>
          <w:bCs/>
          <w:sz w:val="20"/>
          <w:szCs w:val="20"/>
          <w:lang w:val="uk-UA"/>
        </w:rPr>
        <w:t>Д</w:t>
      </w:r>
      <w:r w:rsidRPr="00E0199A">
        <w:rPr>
          <w:b/>
          <w:bCs/>
          <w:sz w:val="20"/>
          <w:szCs w:val="20"/>
          <w:lang w:val="uk-UA"/>
        </w:rPr>
        <w:t>. СПРИЯТЛИВЕ ОСВІТНЄ СЕРЕДОВИЩЕ</w:t>
      </w:r>
    </w:p>
    <w:p w14:paraId="027B5814" w14:textId="2E47F1B4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FA41BD" w:rsidRPr="00E0199A" w14:paraId="60C33D80" w14:textId="77777777" w:rsidTr="00A94EB6">
        <w:tc>
          <w:tcPr>
            <w:tcW w:w="2093" w:type="dxa"/>
          </w:tcPr>
          <w:p w14:paraId="36F0F648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55250810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08B33AD6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5EE4E23B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0DC7DE02" w14:textId="77777777" w:rsidR="00FA41BD" w:rsidRPr="00E0199A" w:rsidRDefault="00FA41BD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479CADC5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4142C" w:rsidRPr="00E0199A" w14:paraId="6D69E53E" w14:textId="77777777" w:rsidTr="00A94EB6">
        <w:tc>
          <w:tcPr>
            <w:tcW w:w="2093" w:type="dxa"/>
          </w:tcPr>
          <w:p w14:paraId="2691A4CD" w14:textId="520C8E13" w:rsidR="0034142C" w:rsidRPr="00E0199A" w:rsidRDefault="0034142C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Д.1  Оновлення освітнього середовища в МДУ в умовах тимчасового переміщення із посиленням </w:t>
            </w:r>
            <w:r w:rsidR="00B81C10" w:rsidRPr="00E0199A">
              <w:rPr>
                <w:bCs/>
                <w:sz w:val="20"/>
                <w:szCs w:val="20"/>
                <w:lang w:val="uk-UA"/>
              </w:rPr>
              <w:t>соціально-</w:t>
            </w:r>
            <w:r w:rsidRPr="00E0199A">
              <w:rPr>
                <w:bCs/>
                <w:sz w:val="20"/>
                <w:szCs w:val="20"/>
                <w:lang w:val="uk-UA"/>
              </w:rPr>
              <w:t>гуманітарної складової</w:t>
            </w:r>
          </w:p>
        </w:tc>
        <w:tc>
          <w:tcPr>
            <w:tcW w:w="2269" w:type="dxa"/>
          </w:tcPr>
          <w:p w14:paraId="5F9CE843" w14:textId="77777777" w:rsidR="00B81C10" w:rsidRPr="00E0199A" w:rsidRDefault="0034142C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Д1.1. </w:t>
            </w:r>
            <w:r w:rsidR="00B81C10" w:rsidRPr="00E0199A">
              <w:rPr>
                <w:bCs/>
                <w:sz w:val="20"/>
                <w:szCs w:val="20"/>
                <w:lang w:val="uk-UA"/>
              </w:rPr>
              <w:t xml:space="preserve">Забезпечення реалізації соціально-гуманітарної функції університету в умовах переміщення – Голос Маріуполя в Україні та світі </w:t>
            </w:r>
          </w:p>
          <w:p w14:paraId="7F77F4A4" w14:textId="101D73F5" w:rsidR="0034142C" w:rsidRPr="00E0199A" w:rsidRDefault="00B81C10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Д.1.2 </w:t>
            </w:r>
            <w:r w:rsidR="0034142C" w:rsidRPr="00E0199A">
              <w:rPr>
                <w:bCs/>
                <w:sz w:val="20"/>
                <w:szCs w:val="20"/>
                <w:lang w:val="uk-UA"/>
              </w:rPr>
              <w:t>Організація гуманітарного штабу і центру «Маріуполь у серці»</w:t>
            </w:r>
          </w:p>
          <w:p w14:paraId="499F2FE1" w14:textId="77777777" w:rsidR="00B81C10" w:rsidRPr="00E0199A" w:rsidRDefault="00B81C10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Д.1.3. </w:t>
            </w:r>
          </w:p>
          <w:p w14:paraId="3C6C184D" w14:textId="1B9480F2" w:rsidR="0034142C" w:rsidRPr="00E0199A" w:rsidRDefault="0034142C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Розвиток співробітництва із міжнародними та національними центрами гуманітарної допомоги та волонтерства </w:t>
            </w:r>
          </w:p>
        </w:tc>
        <w:tc>
          <w:tcPr>
            <w:tcW w:w="5514" w:type="dxa"/>
          </w:tcPr>
          <w:p w14:paraId="10E95C15" w14:textId="6A478CAC" w:rsidR="0034142C" w:rsidRPr="00E0199A" w:rsidRDefault="0034142C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Організація гуманітарної допомоги студентам,</w:t>
            </w:r>
            <w:r w:rsidR="00692CCE" w:rsidRPr="00E0199A">
              <w:rPr>
                <w:rFonts w:eastAsia="Calibri"/>
                <w:sz w:val="20"/>
                <w:szCs w:val="20"/>
                <w:lang w:val="uk-UA"/>
              </w:rPr>
              <w:t xml:space="preserve"> викладачам та співробітникам, а також маріупольцям, що тимчасово мешкають у Києві</w:t>
            </w:r>
          </w:p>
          <w:p w14:paraId="18093088" w14:textId="55EC8BE8" w:rsidR="00692CCE" w:rsidRPr="00E0199A" w:rsidRDefault="00692CCE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Сприяння у залученні гуманітарних ресурсів для забезпечення потреб студентів, викладачів, співробітників університету,</w:t>
            </w:r>
          </w:p>
          <w:p w14:paraId="6EC032EC" w14:textId="47F29A16" w:rsidR="00B81C10" w:rsidRPr="00E0199A" w:rsidRDefault="00B81C10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344"/>
              </w:tabs>
              <w:suppressAutoHyphens/>
              <w:spacing w:after="0" w:line="240" w:lineRule="auto"/>
              <w:ind w:left="0" w:firstLine="6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Забезпечення психологічної підтримки маріупольців, у тому числі шляхом впровадження тренінгів, курсів, організації зустріч тощо</w:t>
            </w:r>
          </w:p>
          <w:p w14:paraId="0F3BE43D" w14:textId="6D1A6A11" w:rsidR="00692CCE" w:rsidRPr="00E0199A" w:rsidRDefault="00692CCE" w:rsidP="00E90E69">
            <w:pPr>
              <w:suppressLineNumbers/>
              <w:tabs>
                <w:tab w:val="left" w:pos="344"/>
              </w:tabs>
              <w:suppressAutoHyphens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  <w:p w14:paraId="19ED14EC" w14:textId="2057FA05" w:rsidR="00692CCE" w:rsidRPr="00E0199A" w:rsidRDefault="00B81C10" w:rsidP="00E90E69">
            <w:pPr>
              <w:suppressLineNumbers/>
              <w:tabs>
                <w:tab w:val="left" w:pos="344"/>
              </w:tabs>
              <w:suppressAutoHyphens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70" w:type="dxa"/>
          </w:tcPr>
          <w:p w14:paraId="5C630576" w14:textId="77777777" w:rsidR="0034142C" w:rsidRPr="00E0199A" w:rsidRDefault="001B16F0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81"/>
              </w:tabs>
              <w:suppressAutoHyphens/>
              <w:spacing w:after="0" w:line="240" w:lineRule="auto"/>
              <w:ind w:left="222" w:hanging="141"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Кількість отримувачів допомоги в гуманітарному штабі МДУ</w:t>
            </w:r>
          </w:p>
          <w:p w14:paraId="4B74537C" w14:textId="77777777" w:rsidR="001B16F0" w:rsidRPr="00E0199A" w:rsidRDefault="001B16F0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81"/>
              </w:tabs>
              <w:suppressAutoHyphens/>
              <w:spacing w:after="0" w:line="240" w:lineRule="auto"/>
              <w:ind w:left="57" w:hanging="141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Кількість проведених заходів (тренінгів, семінарів, круглих столів тощо) з питань гуманітарної допомоги та психологічної підтримки ВПО </w:t>
            </w:r>
          </w:p>
          <w:p w14:paraId="37485822" w14:textId="6EAB3F6D" w:rsidR="001B16F0" w:rsidRPr="00E0199A" w:rsidRDefault="00B81C10" w:rsidP="00E90E69">
            <w:pPr>
              <w:pStyle w:val="ListParagraph"/>
              <w:numPr>
                <w:ilvl w:val="0"/>
                <w:numId w:val="8"/>
              </w:numPr>
              <w:suppressLineNumbers/>
              <w:tabs>
                <w:tab w:val="left" w:pos="81"/>
              </w:tabs>
              <w:suppressAutoHyphens/>
              <w:spacing w:after="0" w:line="240" w:lineRule="auto"/>
              <w:ind w:left="57" w:hanging="141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Кількість виступів, інтерв’ю, заходів із залученням вітчизняних та іноземних ЗМІ, присвячених Маріуполю та маріупольцям</w:t>
            </w:r>
          </w:p>
        </w:tc>
      </w:tr>
      <w:tr w:rsidR="00FA41BD" w:rsidRPr="00E0199A" w14:paraId="495D5300" w14:textId="77777777" w:rsidTr="000819D4">
        <w:trPr>
          <w:trHeight w:val="1653"/>
        </w:trPr>
        <w:tc>
          <w:tcPr>
            <w:tcW w:w="2093" w:type="dxa"/>
          </w:tcPr>
          <w:p w14:paraId="3D1B36A9" w14:textId="33B525DC" w:rsidR="00FA41BD" w:rsidRPr="00E0199A" w:rsidRDefault="0034142C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Д.2 Створення умов для творчого розвитку студентства</w:t>
            </w:r>
          </w:p>
        </w:tc>
        <w:tc>
          <w:tcPr>
            <w:tcW w:w="2269" w:type="dxa"/>
          </w:tcPr>
          <w:p w14:paraId="181B94B6" w14:textId="3552C58C" w:rsidR="008227A5" w:rsidRPr="00E0199A" w:rsidRDefault="008227A5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Д.</w:t>
            </w:r>
            <w:r w:rsidR="0034142C" w:rsidRPr="00E0199A">
              <w:rPr>
                <w:bCs/>
                <w:sz w:val="20"/>
                <w:szCs w:val="20"/>
                <w:lang w:val="uk-UA"/>
              </w:rPr>
              <w:t>2</w:t>
            </w:r>
            <w:r w:rsidRPr="00E0199A">
              <w:rPr>
                <w:sz w:val="20"/>
                <w:szCs w:val="20"/>
                <w:lang w:val="uk-UA"/>
              </w:rPr>
              <w:t>.1. Організація співробітництва зі студентами  з метою   виявлення потенційних лідерів та організаторів;</w:t>
            </w:r>
          </w:p>
          <w:p w14:paraId="7524D292" w14:textId="052AD45D" w:rsidR="008227A5" w:rsidRPr="00E0199A" w:rsidRDefault="008227A5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Д.</w:t>
            </w:r>
            <w:r w:rsidR="0034142C" w:rsidRPr="00E0199A">
              <w:rPr>
                <w:sz w:val="20"/>
                <w:szCs w:val="20"/>
                <w:lang w:val="uk-UA"/>
              </w:rPr>
              <w:t>2</w:t>
            </w:r>
            <w:r w:rsidRPr="00E0199A">
              <w:rPr>
                <w:sz w:val="20"/>
                <w:szCs w:val="20"/>
                <w:lang w:val="uk-UA"/>
              </w:rPr>
              <w:t>.2. Підготовка  нових програм для участі у міжнародних фестивалях</w:t>
            </w:r>
          </w:p>
          <w:p w14:paraId="20AF1DAE" w14:textId="3E51A716" w:rsidR="008227A5" w:rsidRPr="00E0199A" w:rsidRDefault="008227A5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Д.</w:t>
            </w:r>
            <w:r w:rsidR="0034142C" w:rsidRPr="00E0199A">
              <w:rPr>
                <w:sz w:val="20"/>
                <w:szCs w:val="20"/>
                <w:lang w:val="uk-UA"/>
              </w:rPr>
              <w:t>2</w:t>
            </w:r>
            <w:r w:rsidRPr="00E0199A">
              <w:rPr>
                <w:sz w:val="20"/>
                <w:szCs w:val="20"/>
                <w:lang w:val="uk-UA"/>
              </w:rPr>
              <w:t xml:space="preserve">.3.  Виховання студента як високоморальної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>інтелігентної особистості, зміцнення моралі і духовності, формування у молоді національної світоглядної позиції, почуття патріотизму</w:t>
            </w:r>
          </w:p>
          <w:p w14:paraId="580CBF18" w14:textId="2B238421" w:rsidR="00FA41BD" w:rsidRPr="00E0199A" w:rsidRDefault="003938BD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.</w:t>
            </w:r>
            <w:r w:rsidR="0034142C" w:rsidRPr="00E0199A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.4. </w:t>
            </w:r>
            <w:r w:rsidR="000E11AE" w:rsidRPr="00E0199A">
              <w:rPr>
                <w:rFonts w:eastAsia="Calibri"/>
                <w:sz w:val="20"/>
                <w:szCs w:val="20"/>
                <w:lang w:val="uk-UA"/>
              </w:rPr>
              <w:t xml:space="preserve">Відновлення діяльності творчих колективів НАНТ «Промінь» та «Сопрано» </w:t>
            </w:r>
          </w:p>
        </w:tc>
        <w:tc>
          <w:tcPr>
            <w:tcW w:w="5514" w:type="dxa"/>
          </w:tcPr>
          <w:p w14:paraId="4EA4FF41" w14:textId="77777777" w:rsidR="00B361E5" w:rsidRPr="00E0199A" w:rsidRDefault="00B361E5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проведення позанавчальних конкурсів, фестивалів, круглих столів;</w:t>
            </w:r>
          </w:p>
          <w:p w14:paraId="2AE14E89" w14:textId="3BBCE0B6" w:rsidR="00B361E5" w:rsidRPr="00E0199A" w:rsidRDefault="00B361E5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сприяння та заохочення участі студентів у конкурсах, фестивалях різного рівня;</w:t>
            </w:r>
          </w:p>
          <w:p w14:paraId="208EA328" w14:textId="77777777" w:rsidR="00B361E5" w:rsidRPr="00E0199A" w:rsidRDefault="00B361E5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створення умов для розвитку мережі творчих колективів;</w:t>
            </w:r>
          </w:p>
          <w:p w14:paraId="1B15F0A7" w14:textId="77777777" w:rsidR="00B361E5" w:rsidRPr="00E0199A" w:rsidRDefault="00B361E5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198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участь творчих колективів МДУ у фестивалях, конкурсах різного рівня.</w:t>
            </w:r>
          </w:p>
          <w:p w14:paraId="7C0BE36B" w14:textId="047E026B" w:rsidR="003938BD" w:rsidRPr="00E0199A" w:rsidRDefault="003938BD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5570" w:type="dxa"/>
          </w:tcPr>
          <w:p w14:paraId="78E58AC0" w14:textId="77777777" w:rsidR="000130FE" w:rsidRPr="00E0199A" w:rsidRDefault="000130FE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216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творчих об’єднань та колективів в університеті;</w:t>
            </w:r>
          </w:p>
          <w:p w14:paraId="1908EABA" w14:textId="6407A76F" w:rsidR="000130FE" w:rsidRPr="00E0199A" w:rsidRDefault="000130FE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216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переможців міських, обласних, всеукраїнських та міжнародних конкурсів та фестивалів тощо; </w:t>
            </w:r>
          </w:p>
          <w:p w14:paraId="0621A888" w14:textId="77777777" w:rsidR="000130FE" w:rsidRPr="00E0199A" w:rsidRDefault="000130FE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216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нагород (медалей, дипломів, грамот), отриманих  учасниками творчих колективів університету; </w:t>
            </w:r>
          </w:p>
          <w:p w14:paraId="544B1D68" w14:textId="66096EE5" w:rsidR="000130FE" w:rsidRPr="00E0199A" w:rsidRDefault="000130FE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216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кількість заходів, проведених в університеті, спрямованих на національно–патріотичне,  громадянське,  морально</w:t>
            </w:r>
            <w:r w:rsidR="00C0345E" w:rsidRPr="00E0199A">
              <w:rPr>
                <w:sz w:val="20"/>
                <w:szCs w:val="20"/>
                <w:lang w:val="uk-UA"/>
              </w:rPr>
              <w:t>-</w:t>
            </w:r>
            <w:r w:rsidRPr="00E0199A">
              <w:rPr>
                <w:sz w:val="20"/>
                <w:szCs w:val="20"/>
                <w:lang w:val="uk-UA"/>
              </w:rPr>
              <w:t>етичне, художньо</w:t>
            </w:r>
            <w:r w:rsidR="00C0345E" w:rsidRPr="00E0199A">
              <w:rPr>
                <w:sz w:val="20"/>
                <w:szCs w:val="20"/>
                <w:lang w:val="uk-UA"/>
              </w:rPr>
              <w:t>-</w:t>
            </w:r>
            <w:r w:rsidRPr="00E0199A">
              <w:rPr>
                <w:sz w:val="20"/>
                <w:szCs w:val="20"/>
                <w:lang w:val="uk-UA"/>
              </w:rPr>
              <w:t>естетичн</w:t>
            </w:r>
            <w:r w:rsidR="00C0345E" w:rsidRPr="00E0199A">
              <w:rPr>
                <w:sz w:val="20"/>
                <w:szCs w:val="20"/>
                <w:lang w:val="uk-UA"/>
              </w:rPr>
              <w:t>е</w:t>
            </w:r>
            <w:r w:rsidRPr="00E0199A">
              <w:rPr>
                <w:sz w:val="20"/>
                <w:szCs w:val="20"/>
                <w:lang w:val="uk-UA"/>
              </w:rPr>
              <w:t>, фізичне виховання та підтримк</w:t>
            </w:r>
            <w:r w:rsidR="00C0345E" w:rsidRPr="00E0199A">
              <w:rPr>
                <w:sz w:val="20"/>
                <w:szCs w:val="20"/>
                <w:lang w:val="uk-UA"/>
              </w:rPr>
              <w:t>у</w:t>
            </w:r>
            <w:r w:rsidRPr="00E0199A">
              <w:rPr>
                <w:sz w:val="20"/>
                <w:szCs w:val="20"/>
                <w:lang w:val="uk-UA"/>
              </w:rPr>
              <w:t xml:space="preserve"> здорового способу життя; </w:t>
            </w:r>
          </w:p>
          <w:p w14:paraId="60B3FADE" w14:textId="12F046DF" w:rsidR="000130FE" w:rsidRPr="00E0199A" w:rsidRDefault="000130FE" w:rsidP="00E90E69">
            <w:pPr>
              <w:pStyle w:val="ListParagraph"/>
              <w:numPr>
                <w:ilvl w:val="0"/>
                <w:numId w:val="1"/>
              </w:numPr>
              <w:suppressLineNumbers/>
              <w:tabs>
                <w:tab w:val="left" w:pos="216"/>
              </w:tabs>
              <w:suppressAutoHyphens/>
              <w:spacing w:after="0" w:line="240" w:lineRule="auto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отримання  вокальним колективом «Сопрано» звання «Народного аматорського колективу»</w:t>
            </w:r>
            <w:r w:rsidR="00C0345E" w:rsidRPr="00E0199A">
              <w:rPr>
                <w:sz w:val="20"/>
                <w:szCs w:val="20"/>
                <w:lang w:val="uk-UA"/>
              </w:rPr>
              <w:t>.</w:t>
            </w:r>
          </w:p>
          <w:p w14:paraId="6F2068B1" w14:textId="4AB0BA3D" w:rsidR="00FA41BD" w:rsidRPr="00E0199A" w:rsidRDefault="00FA41BD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25CA5" w:rsidRPr="00E0199A" w14:paraId="711CD95F" w14:textId="77777777" w:rsidTr="008227A5">
        <w:trPr>
          <w:trHeight w:val="661"/>
        </w:trPr>
        <w:tc>
          <w:tcPr>
            <w:tcW w:w="2093" w:type="dxa"/>
          </w:tcPr>
          <w:p w14:paraId="0548417B" w14:textId="4DD2313C" w:rsidR="00025CA5" w:rsidRPr="00E0199A" w:rsidRDefault="008227A5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Д.</w:t>
            </w:r>
            <w:r w:rsidR="0034142C" w:rsidRPr="00E0199A">
              <w:rPr>
                <w:bCs/>
                <w:sz w:val="20"/>
                <w:szCs w:val="20"/>
                <w:lang w:val="uk-UA"/>
              </w:rPr>
              <w:t>3</w:t>
            </w:r>
            <w:r w:rsidR="003938BD" w:rsidRPr="00E0199A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25CA5" w:rsidRPr="00E0199A">
              <w:rPr>
                <w:bCs/>
                <w:sz w:val="20"/>
                <w:szCs w:val="20"/>
                <w:lang w:val="uk-UA"/>
              </w:rPr>
              <w:t>Розвиток студентського самоврядування</w:t>
            </w:r>
          </w:p>
        </w:tc>
        <w:tc>
          <w:tcPr>
            <w:tcW w:w="2269" w:type="dxa"/>
          </w:tcPr>
          <w:p w14:paraId="0D454C03" w14:textId="07A10DFA" w:rsidR="008227A5" w:rsidRPr="00E0199A" w:rsidRDefault="008227A5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Д.</w:t>
            </w:r>
            <w:r w:rsidR="0034142C" w:rsidRPr="00E0199A">
              <w:rPr>
                <w:rFonts w:eastAsia="Calibri"/>
                <w:sz w:val="20"/>
                <w:szCs w:val="20"/>
                <w:lang w:val="uk-UA"/>
              </w:rPr>
              <w:t>3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.1.</w:t>
            </w:r>
            <w:r w:rsidR="003938BD" w:rsidRPr="00E0199A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Сприяння діяльності студентських гуртків, товариств, об'єднань, клубів за інтересами.</w:t>
            </w:r>
          </w:p>
          <w:p w14:paraId="4B625F80" w14:textId="77777777" w:rsidR="00025CA5" w:rsidRPr="00E0199A" w:rsidRDefault="008227A5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</w:pPr>
            <w:r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Д.</w:t>
            </w:r>
            <w:r w:rsidR="0034142C"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3</w:t>
            </w:r>
            <w:r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.2. Організація співробітництва зі студентами інших  закладів</w:t>
            </w:r>
            <w:r w:rsidR="000819D4"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вищої освіти</w:t>
            </w:r>
            <w:r w:rsidRPr="00E0199A">
              <w:rPr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 xml:space="preserve"> і молодіжними організаціями.</w:t>
            </w:r>
          </w:p>
          <w:p w14:paraId="4004CEAB" w14:textId="0C90B305" w:rsidR="00397598" w:rsidRPr="00E90E69" w:rsidRDefault="00397598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Д.3.3.</w:t>
            </w:r>
            <w:r w:rsidRPr="00E0199A">
              <w:rPr>
                <w:sz w:val="20"/>
                <w:szCs w:val="20"/>
                <w:lang w:val="uk-UA"/>
              </w:rPr>
              <w:t>.Розвиток співробітництва зі студентами  з метою   виявлення потенційних лідерів та організаторів</w:t>
            </w:r>
          </w:p>
        </w:tc>
        <w:tc>
          <w:tcPr>
            <w:tcW w:w="5514" w:type="dxa"/>
          </w:tcPr>
          <w:p w14:paraId="093614D9" w14:textId="2818332E" w:rsidR="00063929" w:rsidRPr="00E0199A" w:rsidRDefault="00063929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розвиток постійного діалогу адміністрація університету – студактив університету; </w:t>
            </w:r>
          </w:p>
          <w:p w14:paraId="454C11A8" w14:textId="7BDB272E" w:rsidR="00063929" w:rsidRPr="00E0199A" w:rsidRDefault="00063929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залучення студентів до культурно</w:t>
            </w:r>
            <w:r w:rsidR="001C52EE" w:rsidRPr="00E0199A">
              <w:rPr>
                <w:sz w:val="20"/>
                <w:szCs w:val="20"/>
                <w:lang w:val="uk-UA"/>
              </w:rPr>
              <w:t>-</w:t>
            </w:r>
            <w:r w:rsidRPr="00E0199A">
              <w:rPr>
                <w:sz w:val="20"/>
                <w:szCs w:val="20"/>
                <w:lang w:val="uk-UA"/>
              </w:rPr>
              <w:t xml:space="preserve">просвітницьких, виховних заходів; </w:t>
            </w:r>
          </w:p>
          <w:p w14:paraId="5BA1D545" w14:textId="492A6FE8" w:rsidR="00063929" w:rsidRPr="00E0199A" w:rsidRDefault="00063929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всебічна підтримка студентської ініціативи; </w:t>
            </w:r>
          </w:p>
          <w:p w14:paraId="13795ECD" w14:textId="24BCBC6F" w:rsidR="00063929" w:rsidRPr="00E0199A" w:rsidRDefault="00063929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розвиток волонтерського руху в університеті.</w:t>
            </w:r>
          </w:p>
        </w:tc>
        <w:tc>
          <w:tcPr>
            <w:tcW w:w="5570" w:type="dxa"/>
          </w:tcPr>
          <w:p w14:paraId="4F623570" w14:textId="77777777" w:rsidR="00063929" w:rsidRPr="00E0199A" w:rsidRDefault="00063929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кількість учасників заходів з розвитку лідерського потенціалу студентської молоді; </w:t>
            </w:r>
          </w:p>
          <w:p w14:paraId="3ED9796D" w14:textId="77777777" w:rsidR="00063929" w:rsidRPr="00E0199A" w:rsidRDefault="00063929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кількість студентів, які беруть участь у діяльності молодіжних організацій, органів місцевого самоврядування і студентського самоврядування університету; </w:t>
            </w:r>
          </w:p>
          <w:p w14:paraId="3236886F" w14:textId="05A8FC08" w:rsidR="00063929" w:rsidRPr="00E0199A" w:rsidRDefault="00063929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розвиток волонтерських проєктів в університеті.</w:t>
            </w:r>
          </w:p>
        </w:tc>
      </w:tr>
    </w:tbl>
    <w:p w14:paraId="1910433C" w14:textId="2888C7C0" w:rsidR="00FA41BD" w:rsidRDefault="00FA41BD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p w14:paraId="0B558503" w14:textId="77777777" w:rsidR="00E90E69" w:rsidRDefault="00E90E69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p w14:paraId="5A858842" w14:textId="03347107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5848CD" w:rsidRPr="00E0199A">
        <w:rPr>
          <w:b/>
          <w:bCs/>
          <w:sz w:val="20"/>
          <w:szCs w:val="20"/>
          <w:lang w:val="uk-UA"/>
        </w:rPr>
        <w:t>Е</w:t>
      </w:r>
      <w:r w:rsidRPr="00E0199A">
        <w:rPr>
          <w:b/>
          <w:bCs/>
          <w:sz w:val="20"/>
          <w:szCs w:val="20"/>
          <w:lang w:val="uk-UA"/>
        </w:rPr>
        <w:t>. РОЗВИТОК ІНФРАСТУКТУРИ</w:t>
      </w:r>
    </w:p>
    <w:p w14:paraId="20D64608" w14:textId="1C45F4DA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95287E" w:rsidRPr="00E0199A" w14:paraId="607613FC" w14:textId="77777777" w:rsidTr="00A94EB6">
        <w:tc>
          <w:tcPr>
            <w:tcW w:w="2093" w:type="dxa"/>
          </w:tcPr>
          <w:p w14:paraId="1ED0C22E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49B6175B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69AAE42F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5C00CF04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2612B488" w14:textId="77777777" w:rsidR="00FA41BD" w:rsidRPr="00E0199A" w:rsidRDefault="00FA41BD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36A48459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5287E" w:rsidRPr="00E0199A" w14:paraId="18EB4DF3" w14:textId="77777777" w:rsidTr="0034142C">
        <w:trPr>
          <w:trHeight w:val="519"/>
        </w:trPr>
        <w:tc>
          <w:tcPr>
            <w:tcW w:w="2093" w:type="dxa"/>
          </w:tcPr>
          <w:p w14:paraId="501D8165" w14:textId="64572E66" w:rsidR="007668C7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Е.1.</w:t>
            </w:r>
            <w:r w:rsidR="00CD6C06" w:rsidRPr="00E0199A">
              <w:rPr>
                <w:sz w:val="20"/>
                <w:szCs w:val="20"/>
                <w:lang w:val="uk-UA"/>
              </w:rPr>
              <w:t xml:space="preserve"> </w:t>
            </w:r>
            <w:r w:rsidR="0022139D" w:rsidRPr="00E0199A">
              <w:rPr>
                <w:sz w:val="20"/>
                <w:szCs w:val="20"/>
                <w:lang w:val="uk-UA"/>
              </w:rPr>
              <w:t xml:space="preserve"> С</w:t>
            </w:r>
            <w:r w:rsidR="007668C7" w:rsidRPr="00E0199A">
              <w:rPr>
                <w:rFonts w:eastAsia="Calibri"/>
                <w:sz w:val="20"/>
                <w:szCs w:val="20"/>
                <w:lang w:val="uk-UA"/>
              </w:rPr>
              <w:t>творення матеріально-технічної бази університету в умова</w:t>
            </w:r>
            <w:r w:rsidR="0051156A" w:rsidRPr="00E0199A">
              <w:rPr>
                <w:rFonts w:eastAsia="Calibri"/>
                <w:sz w:val="20"/>
                <w:szCs w:val="20"/>
                <w:lang w:val="uk-UA"/>
              </w:rPr>
              <w:t>х</w:t>
            </w:r>
            <w:r w:rsidR="007668C7" w:rsidRPr="00E0199A">
              <w:rPr>
                <w:rFonts w:eastAsia="Calibri"/>
                <w:sz w:val="20"/>
                <w:szCs w:val="20"/>
                <w:lang w:val="uk-UA"/>
              </w:rPr>
              <w:t xml:space="preserve"> тимчасового переміщення</w:t>
            </w:r>
          </w:p>
          <w:p w14:paraId="7CB89448" w14:textId="77777777" w:rsidR="007668C7" w:rsidRPr="00E0199A" w:rsidRDefault="007668C7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  <w:p w14:paraId="2CE99998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09C4E8BB" w14:textId="77777777" w:rsidR="00F90C37" w:rsidRPr="00E90E69" w:rsidRDefault="00F90C37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uk-UA"/>
              </w:rPr>
            </w:pPr>
            <w:r w:rsidRPr="00E90E69">
              <w:rPr>
                <w:bCs/>
                <w:sz w:val="20"/>
                <w:szCs w:val="20"/>
                <w:lang w:val="uk-UA"/>
              </w:rPr>
              <w:t>Е1.1 виконання капітального та поточного ремонту приміщень та будівель університету з використанням сучасного дизайну в умовах тимчасового переміщення</w:t>
            </w:r>
          </w:p>
          <w:p w14:paraId="622115DE" w14:textId="77777777" w:rsidR="00F90C37" w:rsidRPr="00E90E69" w:rsidRDefault="00F90C37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90E69">
              <w:rPr>
                <w:sz w:val="20"/>
                <w:szCs w:val="20"/>
                <w:lang w:val="uk-UA"/>
              </w:rPr>
              <w:lastRenderedPageBreak/>
              <w:t>Е.1.2. розширення участі університету у регіональних програмах підтримки розвитку закладів освіти, міжнародних грантових проєктах допомоги тощо</w:t>
            </w:r>
          </w:p>
          <w:p w14:paraId="18B6170A" w14:textId="200D455B" w:rsidR="00F90C37" w:rsidRPr="00E0199A" w:rsidRDefault="00F90C37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90E69">
              <w:rPr>
                <w:bCs/>
                <w:sz w:val="20"/>
                <w:szCs w:val="20"/>
                <w:lang w:val="uk-UA"/>
              </w:rPr>
              <w:t>Е.1.3.створення безбар’єрного середовища в університеті.</w:t>
            </w:r>
          </w:p>
        </w:tc>
        <w:tc>
          <w:tcPr>
            <w:tcW w:w="5514" w:type="dxa"/>
          </w:tcPr>
          <w:p w14:paraId="46983AAB" w14:textId="65722077" w:rsidR="00F90C37" w:rsidRPr="00E0199A" w:rsidRDefault="00F90C37" w:rsidP="00E90E69">
            <w:pPr>
              <w:pStyle w:val="ListParagraph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>розробка програми нового будівництва, реконструкції та розвитку МТБ університету:</w:t>
            </w:r>
          </w:p>
          <w:p w14:paraId="590F891D" w14:textId="0F72B1D6" w:rsidR="00F90C37" w:rsidRPr="00E0199A" w:rsidRDefault="00F90C37" w:rsidP="00E90E69">
            <w:pPr>
              <w:pStyle w:val="ListParagraph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капітальний ремонт корпусу МДУ в Києві;</w:t>
            </w:r>
          </w:p>
          <w:p w14:paraId="440BF2F4" w14:textId="37072C91" w:rsidR="00F90C37" w:rsidRPr="00E0199A" w:rsidRDefault="00F90C37" w:rsidP="00E90E69">
            <w:pPr>
              <w:pStyle w:val="ListParagraph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капітальний ремонт гуртожитку;</w:t>
            </w:r>
          </w:p>
          <w:p w14:paraId="1974572E" w14:textId="2945989C" w:rsidR="00F90C37" w:rsidRPr="00E0199A" w:rsidRDefault="00F90C37" w:rsidP="00E90E69">
            <w:pPr>
              <w:pStyle w:val="ListParagraph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будівництво Центру «Маріуполь у серці».</w:t>
            </w:r>
          </w:p>
          <w:p w14:paraId="15F0812C" w14:textId="77777777" w:rsidR="00F90C37" w:rsidRPr="00E0199A" w:rsidRDefault="00F90C37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b/>
                <w:sz w:val="20"/>
                <w:szCs w:val="20"/>
                <w:lang w:val="uk-UA"/>
              </w:rPr>
            </w:pPr>
          </w:p>
          <w:p w14:paraId="5FB8699A" w14:textId="77777777" w:rsidR="000332E0" w:rsidRPr="00E0199A" w:rsidRDefault="000332E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b/>
                <w:sz w:val="20"/>
                <w:szCs w:val="20"/>
                <w:lang w:val="uk-UA"/>
              </w:rPr>
            </w:pPr>
          </w:p>
          <w:p w14:paraId="1C9EA4AA" w14:textId="10B736A7" w:rsidR="000332E0" w:rsidRPr="00E0199A" w:rsidRDefault="000332E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5045617" w14:textId="07067097" w:rsidR="0051156A" w:rsidRPr="00E0199A" w:rsidRDefault="0051156A" w:rsidP="00E90E69">
            <w:pPr>
              <w:pStyle w:val="ListParagraph"/>
              <w:numPr>
                <w:ilvl w:val="0"/>
                <w:numId w:val="2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47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програма розвитку МТБ університету в умовах тимчасового переміщення</w:t>
            </w:r>
          </w:p>
          <w:p w14:paraId="201EFE42" w14:textId="4401D2E4" w:rsidR="00F90C37" w:rsidRPr="00E0199A" w:rsidRDefault="00F90C37" w:rsidP="00E90E69">
            <w:pPr>
              <w:pStyle w:val="ListParagraph"/>
              <w:numPr>
                <w:ilvl w:val="0"/>
                <w:numId w:val="2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47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звіт про будівництво, реконструкцію, капітальний та поточний ремонти основних фондів; </w:t>
            </w:r>
          </w:p>
          <w:p w14:paraId="600CE53E" w14:textId="7F67B455" w:rsidR="00F90C37" w:rsidRPr="00E0199A" w:rsidRDefault="00F90C37" w:rsidP="00E90E69">
            <w:pPr>
              <w:pStyle w:val="ListParagraph"/>
              <w:numPr>
                <w:ilvl w:val="0"/>
                <w:numId w:val="2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47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кількісні показники матеріально-технічного забезпечення освітнього процесу сучасним навчальним обладнанням, </w:t>
            </w:r>
          </w:p>
          <w:p w14:paraId="69C36F5C" w14:textId="487E2E6B" w:rsidR="00F90C37" w:rsidRPr="00E0199A" w:rsidRDefault="00F90C37" w:rsidP="00E90E69">
            <w:pPr>
              <w:pStyle w:val="ListParagraph"/>
              <w:numPr>
                <w:ilvl w:val="0"/>
                <w:numId w:val="2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47" w:firstLine="142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звіт про заходи щодо забезпечення охорони праці;</w:t>
            </w:r>
          </w:p>
          <w:p w14:paraId="09941596" w14:textId="2BC79D5B" w:rsidR="00F90C37" w:rsidRPr="00E0199A" w:rsidRDefault="00F90C37" w:rsidP="00E90E69">
            <w:pPr>
              <w:pStyle w:val="ListParagraph"/>
              <w:numPr>
                <w:ilvl w:val="0"/>
                <w:numId w:val="2"/>
              </w:numPr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47" w:firstLine="142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звіт щодо доступності осіб з інвалідністю та інших маломобільних груп населення.</w:t>
            </w:r>
          </w:p>
          <w:p w14:paraId="0D1FD2EC" w14:textId="7FB363EC" w:rsidR="00CF039A" w:rsidRPr="00E0199A" w:rsidRDefault="00CF039A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95287E" w:rsidRPr="00E0199A" w14:paraId="30DF296E" w14:textId="77777777" w:rsidTr="0014209D">
        <w:trPr>
          <w:trHeight w:val="803"/>
        </w:trPr>
        <w:tc>
          <w:tcPr>
            <w:tcW w:w="2093" w:type="dxa"/>
          </w:tcPr>
          <w:p w14:paraId="275A0DE2" w14:textId="77777777" w:rsidR="0095287E" w:rsidRPr="00E0199A" w:rsidRDefault="0095287E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Е.2.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Вдосконалення інформаційно-телекомунікаційного забезпечення</w:t>
            </w:r>
          </w:p>
          <w:p w14:paraId="2DEAD709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627F4BBC" w14:textId="4BDFCDAF" w:rsidR="0095287E" w:rsidRPr="00E0199A" w:rsidRDefault="0095287E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kern w:val="24"/>
                <w:sz w:val="20"/>
                <w:szCs w:val="20"/>
                <w:lang w:val="uk-UA"/>
              </w:rPr>
              <w:t>Е.2.1.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="00357698" w:rsidRPr="00E0199A">
              <w:rPr>
                <w:rFonts w:eastAsia="Calibri"/>
                <w:sz w:val="20"/>
                <w:szCs w:val="20"/>
                <w:lang w:val="uk-UA"/>
              </w:rPr>
              <w:t xml:space="preserve">Підвищення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надійності збереження інформації та її захист від неавторизованого доступу.</w:t>
            </w:r>
          </w:p>
          <w:p w14:paraId="488958D8" w14:textId="068A80AA" w:rsidR="0095287E" w:rsidRPr="00E0199A" w:rsidRDefault="0095287E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Е.2.2. </w:t>
            </w:r>
            <w:r w:rsidR="00357698" w:rsidRPr="00E0199A">
              <w:rPr>
                <w:rFonts w:eastAsia="Calibri"/>
                <w:sz w:val="20"/>
                <w:szCs w:val="20"/>
                <w:lang w:val="uk-UA"/>
              </w:rPr>
              <w:t xml:space="preserve">Запровадження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системи електронного документообігу університету.</w:t>
            </w:r>
          </w:p>
          <w:p w14:paraId="25484AE3" w14:textId="7F9BE913" w:rsidR="00BD4A5C" w:rsidRPr="00E0199A" w:rsidRDefault="00BD4A5C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sz w:val="20"/>
                <w:szCs w:val="20"/>
                <w:lang w:val="uk-UA"/>
              </w:rPr>
              <w:t>Е.2.3. Обладнання аудиторій стаціонарними сучасними мультимедійними технічними засобами.</w:t>
            </w:r>
          </w:p>
        </w:tc>
        <w:tc>
          <w:tcPr>
            <w:tcW w:w="5514" w:type="dxa"/>
          </w:tcPr>
          <w:p w14:paraId="371AB12F" w14:textId="77777777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формування карти потреб в комп'ютерній та мультимедійній техніці;</w:t>
            </w:r>
          </w:p>
          <w:p w14:paraId="160C1BAA" w14:textId="77777777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  створення робочого плану по придбанню та впровадженню технічних засобів в робочий та навчальний процеси. </w:t>
            </w:r>
          </w:p>
          <w:p w14:paraId="698DF616" w14:textId="14378823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  відновлення матеріально-технічної бази університету (оснащення робочих місць співробітників сучасним комп’ютерним устаткуванням; обладнання навчальних аудиторій сучасними мультимедійними засобами навчання);</w:t>
            </w:r>
          </w:p>
          <w:p w14:paraId="0626A614" w14:textId="77777777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створення та вдосконалення університетської комп’ютерної мережі;</w:t>
            </w:r>
          </w:p>
          <w:p w14:paraId="13BDF8F4" w14:textId="71981AB2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• підвищення надійності збереження інформації та її захист від неавторизованого доступу;</w:t>
            </w:r>
          </w:p>
          <w:p w14:paraId="7A045824" w14:textId="39F827D9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 • забезпечення будівель навчальних корпусів та гуртожитку доступом до мережі Інтернет за бездротовою технологією </w:t>
            </w:r>
            <w:r w:rsidRPr="00E0199A">
              <w:rPr>
                <w:sz w:val="20"/>
                <w:szCs w:val="20"/>
                <w:lang w:val="en-US"/>
              </w:rPr>
              <w:t>Wi</w:t>
            </w:r>
            <w:r w:rsidRPr="00E0199A">
              <w:rPr>
                <w:sz w:val="20"/>
                <w:szCs w:val="20"/>
              </w:rPr>
              <w:t>-</w:t>
            </w:r>
            <w:r w:rsidRPr="00E0199A">
              <w:rPr>
                <w:sz w:val="20"/>
                <w:szCs w:val="20"/>
                <w:lang w:val="en-US"/>
              </w:rPr>
              <w:t>Fi</w:t>
            </w:r>
            <w:r w:rsidRPr="00E0199A">
              <w:rPr>
                <w:sz w:val="20"/>
                <w:szCs w:val="20"/>
                <w:lang w:val="uk-UA"/>
              </w:rPr>
              <w:t>;</w:t>
            </w:r>
          </w:p>
          <w:p w14:paraId="13B6636D" w14:textId="77777777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розширення системи електронного документообігу університету (зменшення кількості документів на паперових носіях за рахунок переведення їх до СЕД); </w:t>
            </w:r>
          </w:p>
          <w:p w14:paraId="57111A4C" w14:textId="6465E20D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створення єдиної електронної інформаційної бази документації університету;</w:t>
            </w:r>
          </w:p>
          <w:p w14:paraId="462ABD4F" w14:textId="77777777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 впровадження ефективної системи відеоспостереження в навчальних корпусах та гуртожитку університету.</w:t>
            </w:r>
          </w:p>
          <w:p w14:paraId="616DBF67" w14:textId="70AD6885" w:rsidR="00BD4A5C" w:rsidRPr="00E0199A" w:rsidRDefault="00BD4A5C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highlight w:val="yellow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встановлена на входах до будівель факультетів та гуртожитку системи контролю і управління доступом (СКУД).</w:t>
            </w:r>
          </w:p>
        </w:tc>
        <w:tc>
          <w:tcPr>
            <w:tcW w:w="5570" w:type="dxa"/>
          </w:tcPr>
          <w:p w14:paraId="5AF2EA01" w14:textId="77777777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рівень комп’ютеризації наукових і освітніх процесів та управління університетом; </w:t>
            </w:r>
          </w:p>
          <w:p w14:paraId="7FB7CAD2" w14:textId="77777777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наявність системи електронного документообігу;</w:t>
            </w:r>
          </w:p>
          <w:p w14:paraId="22014236" w14:textId="791EE86B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можливість доступу до мережі Інтернет за технологією </w:t>
            </w:r>
            <w:r w:rsidRPr="00E0199A">
              <w:rPr>
                <w:sz w:val="20"/>
                <w:szCs w:val="20"/>
                <w:lang w:val="en-US"/>
              </w:rPr>
              <w:t>Wi</w:t>
            </w:r>
            <w:r w:rsidRPr="00E0199A">
              <w:rPr>
                <w:sz w:val="20"/>
                <w:szCs w:val="20"/>
              </w:rPr>
              <w:t>-</w:t>
            </w:r>
            <w:r w:rsidRPr="00E0199A">
              <w:rPr>
                <w:sz w:val="20"/>
                <w:szCs w:val="20"/>
                <w:lang w:val="en-US"/>
              </w:rPr>
              <w:t>Fi</w:t>
            </w:r>
            <w:r w:rsidRPr="00E0199A">
              <w:rPr>
                <w:sz w:val="20"/>
                <w:szCs w:val="20"/>
                <w:lang w:val="uk-UA"/>
              </w:rPr>
              <w:t>;</w:t>
            </w:r>
          </w:p>
          <w:p w14:paraId="2555E77D" w14:textId="31C749BB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наявність системи відеоспостереження;</w:t>
            </w:r>
          </w:p>
          <w:p w14:paraId="6B9E6007" w14:textId="45646453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наявність системи контролю і управління доступом до приміщень університету.</w:t>
            </w:r>
          </w:p>
          <w:p w14:paraId="4A54C38F" w14:textId="0F07BF6E" w:rsidR="00BD4A5C" w:rsidRPr="00E0199A" w:rsidRDefault="00BD4A5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95287E" w:rsidRPr="00E0199A" w14:paraId="2EE8597F" w14:textId="77777777" w:rsidTr="00E90E69">
        <w:trPr>
          <w:trHeight w:val="1235"/>
        </w:trPr>
        <w:tc>
          <w:tcPr>
            <w:tcW w:w="2093" w:type="dxa"/>
          </w:tcPr>
          <w:p w14:paraId="150F66CE" w14:textId="77777777" w:rsidR="0095287E" w:rsidRPr="00E0199A" w:rsidRDefault="0095287E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Е.3.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Розвиток ефективного енергоменеджменту</w:t>
            </w:r>
          </w:p>
          <w:p w14:paraId="4F4E250C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03F02F8E" w14:textId="4C05C5C2" w:rsidR="00E90E69" w:rsidRPr="00E90E69" w:rsidRDefault="0095287E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Е.3.1. 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Виконання програм з енергозбереження;</w:t>
            </w:r>
          </w:p>
        </w:tc>
        <w:tc>
          <w:tcPr>
            <w:tcW w:w="5514" w:type="dxa"/>
          </w:tcPr>
          <w:p w14:paraId="305D072B" w14:textId="4E6FECE0" w:rsidR="00BD4A5C" w:rsidRPr="00E0199A" w:rsidRDefault="00357698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highlight w:val="yellow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провести комплекс заходів з енергозбереження, підвищення енергетичної ефективності об’єктів</w:t>
            </w:r>
            <w:r w:rsidR="00BD4A5C" w:rsidRPr="00E0199A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5570" w:type="dxa"/>
          </w:tcPr>
          <w:p w14:paraId="2C400301" w14:textId="77777777" w:rsidR="00E80FFE" w:rsidRPr="00E0199A" w:rsidRDefault="00357698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звіт про впровадження сучасних енергозберігаючих технологій і систем опалення навчальних корпусів; </w:t>
            </w:r>
          </w:p>
          <w:p w14:paraId="7BE8D961" w14:textId="6419C08A" w:rsidR="00BD4A5C" w:rsidRPr="00E90E69" w:rsidRDefault="00357698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звіт про динаміку річних енерговитрат (зменшення енерговитрат)</w:t>
            </w:r>
            <w:r w:rsidR="00E80FFE" w:rsidRPr="00E0199A">
              <w:rPr>
                <w:sz w:val="20"/>
                <w:szCs w:val="20"/>
                <w:lang w:val="uk-UA"/>
              </w:rPr>
              <w:t>.</w:t>
            </w:r>
          </w:p>
        </w:tc>
      </w:tr>
    </w:tbl>
    <w:p w14:paraId="42CF1E78" w14:textId="2A61F21F" w:rsidR="00FA41BD" w:rsidRDefault="00FA41BD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p w14:paraId="14807826" w14:textId="77777777" w:rsidR="00E90E69" w:rsidRPr="00E0199A" w:rsidRDefault="00E90E69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p w14:paraId="30BBDC53" w14:textId="77777777" w:rsidR="00132D8C" w:rsidRPr="00E0199A" w:rsidRDefault="00132D8C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</w:p>
    <w:p w14:paraId="57496E15" w14:textId="071321EC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5848CD" w:rsidRPr="00E0199A">
        <w:rPr>
          <w:b/>
          <w:bCs/>
          <w:sz w:val="20"/>
          <w:szCs w:val="20"/>
          <w:lang w:val="en-US"/>
        </w:rPr>
        <w:t>F</w:t>
      </w:r>
      <w:r w:rsidRPr="00E0199A">
        <w:rPr>
          <w:b/>
          <w:bCs/>
          <w:sz w:val="20"/>
          <w:szCs w:val="20"/>
          <w:lang w:val="uk-UA"/>
        </w:rPr>
        <w:t>. ФІНАНСОВА СТАБІЛЬНІСТЬ</w:t>
      </w:r>
    </w:p>
    <w:p w14:paraId="0590D1A1" w14:textId="1FC6BFC4" w:rsidR="00FA41BD" w:rsidRPr="00E0199A" w:rsidRDefault="00FA41BD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EA19BF" w:rsidRPr="00E0199A" w14:paraId="15EB2B00" w14:textId="77777777" w:rsidTr="00A94EB6">
        <w:tc>
          <w:tcPr>
            <w:tcW w:w="2093" w:type="dxa"/>
          </w:tcPr>
          <w:p w14:paraId="6C3ACB8E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269FF52F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618DC372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168FCF2C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260B8DE6" w14:textId="77777777" w:rsidR="00FA41BD" w:rsidRPr="00E0199A" w:rsidRDefault="00FA41BD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244F6BE6" w14:textId="77777777" w:rsidR="00FA41BD" w:rsidRPr="00E0199A" w:rsidRDefault="00FA41BD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A19BF" w:rsidRPr="00E0199A" w14:paraId="7ACB8722" w14:textId="77777777" w:rsidTr="00A94EB6">
        <w:trPr>
          <w:trHeight w:val="3071"/>
        </w:trPr>
        <w:tc>
          <w:tcPr>
            <w:tcW w:w="2093" w:type="dxa"/>
          </w:tcPr>
          <w:p w14:paraId="419A4AF9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>F.1</w:t>
            </w:r>
            <w:r w:rsidRPr="00E0199A">
              <w:rPr>
                <w:sz w:val="20"/>
                <w:szCs w:val="20"/>
                <w:lang w:val="uk-UA"/>
              </w:rPr>
              <w:t xml:space="preserve"> Дотримання принципів цільового та ефективного використання коштів</w:t>
            </w:r>
          </w:p>
          <w:p w14:paraId="79DD6DAC" w14:textId="77777777" w:rsidR="00FA41BD" w:rsidRPr="00E0199A" w:rsidRDefault="00FA41BD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37AAB6FB" w14:textId="1A8A6898" w:rsidR="0095287E" w:rsidRPr="00E0199A" w:rsidRDefault="0095287E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 F.1.1. </w:t>
            </w:r>
            <w:r w:rsidRPr="00E0199A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uk-UA"/>
              </w:rPr>
              <w:t>Забезпечення прозорого моніторингу розподілу та використання фінансових ресурсів, регулярного внутрішнього фінансового аудиту та оприлюднення його результатів.</w:t>
            </w:r>
          </w:p>
          <w:p w14:paraId="3EC5550C" w14:textId="47F41D0D" w:rsidR="006B6FD2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 F.1.2.</w:t>
            </w:r>
            <w:r w:rsidRPr="00E0199A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uk-UA"/>
              </w:rPr>
              <w:t xml:space="preserve"> Коригування кошторисів надходжень і видатків відповідно до фінансової ситуації та невідкладних потреб у коштах</w:t>
            </w:r>
          </w:p>
        </w:tc>
        <w:tc>
          <w:tcPr>
            <w:tcW w:w="5514" w:type="dxa"/>
          </w:tcPr>
          <w:p w14:paraId="33918902" w14:textId="77777777" w:rsidR="001562E1" w:rsidRPr="00E0199A" w:rsidRDefault="001562E1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</w:t>
            </w:r>
            <w:r w:rsidR="0014209D" w:rsidRPr="00E0199A">
              <w:rPr>
                <w:sz w:val="20"/>
                <w:szCs w:val="20"/>
                <w:lang w:val="uk-UA"/>
              </w:rPr>
              <w:t xml:space="preserve">централізоване прозоре планування бюджету за участі підрозділів МДУ з урахуванням фінансової ситуації та невідкладних потреб університету; </w:t>
            </w:r>
          </w:p>
          <w:p w14:paraId="335C870D" w14:textId="52C03A83" w:rsidR="0014209D" w:rsidRPr="00E0199A" w:rsidRDefault="001562E1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</w:t>
            </w:r>
            <w:r w:rsidR="0014209D" w:rsidRPr="00E0199A">
              <w:rPr>
                <w:sz w:val="20"/>
                <w:szCs w:val="20"/>
                <w:lang w:val="uk-UA"/>
              </w:rPr>
              <w:t>забезпечення прозорого моніторингу розподілу та використання фінансових ресурсів, регулярного внутрішнього фінансового аудиту та оприлюднення його результатів.</w:t>
            </w:r>
          </w:p>
        </w:tc>
        <w:tc>
          <w:tcPr>
            <w:tcW w:w="5570" w:type="dxa"/>
          </w:tcPr>
          <w:p w14:paraId="507299E9" w14:textId="3DB50871" w:rsidR="001562E1" w:rsidRPr="00E0199A" w:rsidRDefault="001562E1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звіт про виконання бюджету та використання коштів університету; </w:t>
            </w:r>
          </w:p>
          <w:p w14:paraId="7FB5C174" w14:textId="4F8D961B" w:rsidR="001562E1" w:rsidRPr="00E0199A" w:rsidRDefault="001562E1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позитивні результати фінансового аудиту, перевірок контролюючих органів.</w:t>
            </w:r>
          </w:p>
        </w:tc>
      </w:tr>
      <w:tr w:rsidR="00EA19BF" w:rsidRPr="00E0199A" w14:paraId="34EC045B" w14:textId="77777777" w:rsidTr="00A945F7">
        <w:trPr>
          <w:trHeight w:val="1653"/>
        </w:trPr>
        <w:tc>
          <w:tcPr>
            <w:tcW w:w="2093" w:type="dxa"/>
          </w:tcPr>
          <w:p w14:paraId="25EAB1B1" w14:textId="77777777" w:rsidR="00EA19BF" w:rsidRPr="00E0199A" w:rsidRDefault="00EA19BF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>F.2.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 </w:t>
            </w:r>
            <w:r w:rsidRPr="00E0199A">
              <w:rPr>
                <w:sz w:val="20"/>
                <w:szCs w:val="20"/>
                <w:lang w:val="uk-UA"/>
              </w:rPr>
              <w:t>Диверсифікація джерел фінансування університету</w:t>
            </w:r>
          </w:p>
          <w:p w14:paraId="2B731E3D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7C321DCA" w14:textId="0A74C8E9" w:rsidR="00EA19BF" w:rsidRPr="00E0199A" w:rsidRDefault="00EA19BF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F.2.1.  </w:t>
            </w:r>
            <w:r w:rsidRPr="00E0199A">
              <w:rPr>
                <w:kern w:val="24"/>
                <w:sz w:val="20"/>
                <w:szCs w:val="20"/>
                <w:lang w:val="uk-UA"/>
              </w:rPr>
              <w:t>Забезпечення зростання надходжень через збільшення частки наукових досліджень, розширення спектру платних освітніх послуг та спільних проєктів з партнерами  університету.</w:t>
            </w:r>
          </w:p>
          <w:p w14:paraId="67336DEF" w14:textId="6F8F3B51" w:rsidR="0095287E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bCs/>
                <w:iCs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F.2.2</w:t>
            </w:r>
            <w:r w:rsidR="009C7400" w:rsidRPr="00E0199A">
              <w:rPr>
                <w:bCs/>
                <w:sz w:val="20"/>
                <w:szCs w:val="20"/>
                <w:lang w:val="uk-UA"/>
              </w:rPr>
              <w:t>.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 Залучення </w:t>
            </w:r>
            <w:r w:rsidR="0022139D" w:rsidRPr="00E0199A">
              <w:rPr>
                <w:kern w:val="24"/>
                <w:sz w:val="20"/>
                <w:szCs w:val="20"/>
                <w:lang w:val="uk-UA"/>
              </w:rPr>
              <w:t>субвенцій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 </w:t>
            </w:r>
            <w:r w:rsidR="006B6FD2" w:rsidRPr="00E0199A">
              <w:rPr>
                <w:kern w:val="24"/>
                <w:sz w:val="20"/>
                <w:szCs w:val="20"/>
                <w:lang w:val="uk-UA"/>
              </w:rPr>
              <w:t xml:space="preserve">різних </w:t>
            </w:r>
            <w:r w:rsidRPr="00E0199A">
              <w:rPr>
                <w:kern w:val="24"/>
                <w:sz w:val="20"/>
                <w:szCs w:val="20"/>
                <w:lang w:val="uk-UA"/>
              </w:rPr>
              <w:t>бюджетів</w:t>
            </w:r>
            <w:r w:rsidR="006B6FD2" w:rsidRPr="00E0199A">
              <w:rPr>
                <w:kern w:val="24"/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kern w:val="24"/>
                <w:sz w:val="20"/>
                <w:szCs w:val="20"/>
                <w:lang w:val="uk-UA"/>
              </w:rPr>
              <w:t>державному бюджету на виконання програми соціально-економічного розвитку регіону.</w:t>
            </w:r>
            <w:r w:rsidR="009C7400" w:rsidRPr="00E0199A">
              <w:rPr>
                <w:kern w:val="24"/>
                <w:sz w:val="20"/>
                <w:szCs w:val="20"/>
                <w:lang w:val="uk-UA"/>
              </w:rPr>
              <w:t xml:space="preserve"> </w:t>
            </w:r>
          </w:p>
          <w:p w14:paraId="7A5BD41C" w14:textId="57485EC1" w:rsidR="006B6FD2" w:rsidRPr="00E0199A" w:rsidRDefault="002A69FB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F.2.3. Створення фонду </w:t>
            </w:r>
            <w:r w:rsidR="00270606" w:rsidRPr="00E0199A">
              <w:rPr>
                <w:sz w:val="20"/>
                <w:szCs w:val="20"/>
                <w:lang w:val="uk-UA"/>
              </w:rPr>
              <w:t>фінансових ресурсів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>для відновлення університету.</w:t>
            </w:r>
          </w:p>
        </w:tc>
        <w:tc>
          <w:tcPr>
            <w:tcW w:w="5514" w:type="dxa"/>
          </w:tcPr>
          <w:p w14:paraId="0F789F9A" w14:textId="2B5EF5F9" w:rsidR="009C7400" w:rsidRPr="00E0199A" w:rsidRDefault="009C740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• розробка організаційно-фінансового механізму, що забезпечить підвищення самостійності, зацікавленості та відповідальності за кінцевий результат підрозділів з метою розширення джерел фінансування університету; </w:t>
            </w:r>
          </w:p>
          <w:p w14:paraId="2A272566" w14:textId="77777777" w:rsidR="009C7400" w:rsidRPr="00E0199A" w:rsidRDefault="009C740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розвиток нової фінансової культури в колективі, що відповідає новому фінансовому механізму забезпечення діяльності університетів в Україні</w:t>
            </w:r>
            <w:r w:rsidR="002A69FB" w:rsidRPr="00E0199A">
              <w:rPr>
                <w:sz w:val="20"/>
                <w:szCs w:val="20"/>
                <w:lang w:val="uk-UA"/>
              </w:rPr>
              <w:t>;</w:t>
            </w:r>
          </w:p>
          <w:p w14:paraId="2FE54117" w14:textId="61160711" w:rsidR="006B6FD2" w:rsidRPr="00E0199A" w:rsidRDefault="002A69FB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• </w:t>
            </w:r>
            <w:r w:rsidRPr="00E0199A">
              <w:rPr>
                <w:bCs/>
                <w:iCs/>
                <w:sz w:val="20"/>
                <w:szCs w:val="20"/>
                <w:lang w:val="uk-UA"/>
              </w:rPr>
              <w:t>організація фандрайзингової кампанії для відновлення університету.</w:t>
            </w:r>
          </w:p>
        </w:tc>
        <w:tc>
          <w:tcPr>
            <w:tcW w:w="5570" w:type="dxa"/>
          </w:tcPr>
          <w:p w14:paraId="772ECEA6" w14:textId="77777777" w:rsidR="000043DD" w:rsidRPr="00E0199A" w:rsidRDefault="000043DD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збільшення загальних обсягів фінансування шляхом збільшення контингенту студентів; </w:t>
            </w:r>
          </w:p>
          <w:p w14:paraId="68B984D6" w14:textId="77777777" w:rsidR="000043DD" w:rsidRPr="00E0199A" w:rsidRDefault="000043DD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підвищення коефіцієнтів у формулі фінансування загального фонду бюджету; </w:t>
            </w:r>
          </w:p>
          <w:p w14:paraId="280E893C" w14:textId="77777777" w:rsidR="000043DD" w:rsidRPr="00E0199A" w:rsidRDefault="000043DD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розширення переліку платних послуг університету</w:t>
            </w:r>
            <w:r w:rsidR="002A69FB" w:rsidRPr="00E0199A">
              <w:rPr>
                <w:sz w:val="20"/>
                <w:szCs w:val="20"/>
                <w:lang w:val="uk-UA"/>
              </w:rPr>
              <w:t>;</w:t>
            </w:r>
          </w:p>
          <w:p w14:paraId="08FEE035" w14:textId="32FB0856" w:rsidR="006B6FD2" w:rsidRPr="00E0199A" w:rsidRDefault="006B6FD2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• формування фонду фінансових ресурсів від фандрайзингу.</w:t>
            </w:r>
          </w:p>
        </w:tc>
      </w:tr>
      <w:tr w:rsidR="00EA19BF" w:rsidRPr="00E0199A" w14:paraId="688EF440" w14:textId="77777777" w:rsidTr="00E90E69">
        <w:trPr>
          <w:trHeight w:val="1370"/>
        </w:trPr>
        <w:tc>
          <w:tcPr>
            <w:tcW w:w="2093" w:type="dxa"/>
          </w:tcPr>
          <w:p w14:paraId="65B9E9BF" w14:textId="77777777" w:rsidR="00EA19BF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>F3.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 </w:t>
            </w:r>
            <w:r w:rsidRPr="00E0199A">
              <w:rPr>
                <w:sz w:val="20"/>
                <w:szCs w:val="20"/>
                <w:lang w:val="uk-UA"/>
              </w:rPr>
              <w:t>Інвестування в стратегічно важливі напрямки діяльності університету</w:t>
            </w:r>
          </w:p>
          <w:p w14:paraId="5EA7BC52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14BC9816" w14:textId="3E68EB9B" w:rsidR="00EA19BF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F.3.1.Заснування фонду сталого розвитку універси</w:t>
            </w:r>
            <w:r w:rsidR="00562D12" w:rsidRPr="00E0199A">
              <w:rPr>
                <w:bCs/>
                <w:sz w:val="20"/>
                <w:szCs w:val="20"/>
                <w:lang w:val="uk-UA"/>
              </w:rPr>
              <w:t>т</w:t>
            </w:r>
            <w:r w:rsidRPr="00E0199A">
              <w:rPr>
                <w:bCs/>
                <w:sz w:val="20"/>
                <w:szCs w:val="20"/>
                <w:lang w:val="uk-UA"/>
              </w:rPr>
              <w:t>ету</w:t>
            </w:r>
          </w:p>
          <w:p w14:paraId="63F08834" w14:textId="64E3939A" w:rsidR="00A945F7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F.3.2.  Активізація участі в </w:t>
            </w:r>
            <w:r w:rsidRPr="00E0199A">
              <w:rPr>
                <w:sz w:val="20"/>
                <w:szCs w:val="20"/>
                <w:lang w:val="uk-UA"/>
              </w:rPr>
              <w:t xml:space="preserve">інвестиційних програмах  </w:t>
            </w:r>
          </w:p>
        </w:tc>
        <w:tc>
          <w:tcPr>
            <w:tcW w:w="5514" w:type="dxa"/>
          </w:tcPr>
          <w:p w14:paraId="5139CCF7" w14:textId="1D78E47A" w:rsidR="00C65137" w:rsidRPr="00E0199A" w:rsidRDefault="00562D12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розширення діяльності щодо підготовки проєктів </w:t>
            </w:r>
            <w:r w:rsidR="00C65137" w:rsidRPr="00E0199A">
              <w:rPr>
                <w:sz w:val="20"/>
                <w:szCs w:val="20"/>
                <w:lang w:val="uk-UA"/>
              </w:rPr>
              <w:t>і</w:t>
            </w:r>
            <w:r w:rsidRPr="00E0199A">
              <w:rPr>
                <w:sz w:val="20"/>
                <w:szCs w:val="20"/>
                <w:lang w:val="uk-UA"/>
              </w:rPr>
              <w:t xml:space="preserve">з залучення інвестиційних ресурсів; </w:t>
            </w:r>
          </w:p>
          <w:p w14:paraId="08926D25" w14:textId="77777777" w:rsidR="00C65137" w:rsidRPr="00E0199A" w:rsidRDefault="00562D12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використання можливостей міжнародної грантової допомоги; </w:t>
            </w:r>
          </w:p>
          <w:p w14:paraId="1DA61ABE" w14:textId="2ABFF362" w:rsidR="00A945F7" w:rsidRPr="00E0199A" w:rsidRDefault="00A945F7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EE6F605" w14:textId="77777777" w:rsidR="00C65137" w:rsidRPr="00E0199A" w:rsidRDefault="00C65137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</w:t>
            </w:r>
            <w:r w:rsidR="00562D12" w:rsidRPr="00E0199A">
              <w:rPr>
                <w:sz w:val="20"/>
                <w:szCs w:val="20"/>
                <w:lang w:val="uk-UA"/>
              </w:rPr>
              <w:t xml:space="preserve">створення фінансових резервів і фондів для забезпечення перспективних напрямів діяльності університету; </w:t>
            </w:r>
          </w:p>
          <w:p w14:paraId="7DAFF615" w14:textId="3475EADD" w:rsidR="00A945F7" w:rsidRPr="00E0199A" w:rsidRDefault="00C65137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</w:t>
            </w:r>
            <w:r w:rsidR="00562D12" w:rsidRPr="00E0199A">
              <w:rPr>
                <w:sz w:val="20"/>
                <w:szCs w:val="20"/>
                <w:lang w:val="uk-UA"/>
              </w:rPr>
              <w:t xml:space="preserve">збільшення отриманих грантів, проєктів та субвенцій </w:t>
            </w:r>
            <w:r w:rsidR="0022139D" w:rsidRPr="00E0199A">
              <w:rPr>
                <w:strike/>
                <w:sz w:val="20"/>
                <w:szCs w:val="20"/>
                <w:lang w:val="uk-UA"/>
              </w:rPr>
              <w:t xml:space="preserve"> </w:t>
            </w:r>
          </w:p>
          <w:p w14:paraId="085CBB6D" w14:textId="7950DD0C" w:rsidR="00A945F7" w:rsidRPr="00E0199A" w:rsidRDefault="00A945F7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A19BF" w:rsidRPr="00E0199A" w14:paraId="18F924DE" w14:textId="77777777" w:rsidTr="00A94EB6">
        <w:trPr>
          <w:trHeight w:val="3071"/>
        </w:trPr>
        <w:tc>
          <w:tcPr>
            <w:tcW w:w="2093" w:type="dxa"/>
          </w:tcPr>
          <w:p w14:paraId="2A345F67" w14:textId="68CCE498" w:rsidR="00EA19BF" w:rsidRPr="00E0199A" w:rsidRDefault="00EA19BF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>F4.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 </w:t>
            </w:r>
            <w:r w:rsidRPr="00E0199A">
              <w:rPr>
                <w:sz w:val="20"/>
                <w:szCs w:val="20"/>
                <w:lang w:val="uk-UA"/>
              </w:rPr>
              <w:t xml:space="preserve"> </w:t>
            </w:r>
            <w:r w:rsidRPr="00E0199A">
              <w:rPr>
                <w:rFonts w:eastAsiaTheme="minorEastAsia"/>
                <w:color w:val="000000" w:themeColor="dark1"/>
                <w:kern w:val="24"/>
                <w:sz w:val="20"/>
                <w:szCs w:val="20"/>
                <w:lang w:val="uk-UA"/>
              </w:rPr>
              <w:t xml:space="preserve">Забезпечення </w:t>
            </w:r>
            <w:r w:rsidRPr="00E0199A"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  <w:t>соціально-економічного захисту викладачів, співробітників, здобувачів</w:t>
            </w:r>
          </w:p>
          <w:p w14:paraId="639FF6B0" w14:textId="77777777" w:rsidR="0095287E" w:rsidRPr="00E0199A" w:rsidRDefault="0095287E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62364C71" w14:textId="77777777" w:rsidR="00EA19BF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F.4.1. </w:t>
            </w:r>
            <w:r w:rsidRPr="00E0199A">
              <w:rPr>
                <w:rFonts w:eastAsia="Calibri"/>
                <w:color w:val="000000" w:themeColor="dark1"/>
                <w:kern w:val="24"/>
                <w:sz w:val="20"/>
                <w:szCs w:val="20"/>
                <w:lang w:val="uk-UA"/>
              </w:rPr>
              <w:t>Реалізація програм соціальної підтримки студентів і співробітників, спільно з профкомом і студентським активом.</w:t>
            </w:r>
          </w:p>
          <w:p w14:paraId="581F7C6B" w14:textId="77777777" w:rsidR="00EA19BF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F.4.2</w:t>
            </w:r>
            <w:r w:rsidRPr="00E0199A">
              <w:rPr>
                <w:sz w:val="20"/>
                <w:szCs w:val="20"/>
                <w:lang w:val="uk-UA"/>
              </w:rPr>
              <w:t xml:space="preserve"> Сприяння створенню умов для самореалізації членів профспілки в професійній, науковій, спортивній та творчій діяльності</w:t>
            </w:r>
          </w:p>
          <w:p w14:paraId="0AC7A771" w14:textId="76B3D7FD" w:rsidR="0095287E" w:rsidRPr="00E0199A" w:rsidRDefault="00EA19BF" w:rsidP="00E90E69">
            <w:pPr>
              <w:pStyle w:val="NormalWeb"/>
              <w:suppressLineNumbers/>
              <w:suppressAutoHyphens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F.4.3. </w:t>
            </w:r>
            <w:r w:rsidRPr="00E0199A">
              <w:rPr>
                <w:rFonts w:eastAsia="Calibri"/>
                <w:color w:val="000000"/>
                <w:kern w:val="24"/>
                <w:sz w:val="20"/>
                <w:szCs w:val="20"/>
                <w:lang w:val="uk-UA"/>
              </w:rPr>
              <w:t>Використання нових адресних форм індивідуальної та групової підтримки співробітників Університету</w:t>
            </w:r>
            <w:r w:rsidRPr="00E0199A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5514" w:type="dxa"/>
          </w:tcPr>
          <w:p w14:paraId="55773D9C" w14:textId="2DF87898" w:rsidR="00520A2B" w:rsidRPr="00E0199A" w:rsidRDefault="00520A2B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розробка соціальних програм із забезпечення санаторно-курортного лікування й відпочинку, покращення умов обстеження, лікування та профілактики захворювання студентів, викладачів і співробітників; </w:t>
            </w:r>
          </w:p>
          <w:p w14:paraId="5AA19F81" w14:textId="77777777" w:rsidR="00232FB9" w:rsidRPr="00E0199A" w:rsidRDefault="00520A2B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сприяння створенню умов для самореалізації членів профспілки в професійній, науковій, спортивній та творчій діяльності.</w:t>
            </w:r>
          </w:p>
          <w:p w14:paraId="5B53DCC6" w14:textId="77777777" w:rsidR="00C14A75" w:rsidRPr="00E0199A" w:rsidRDefault="00C14A75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</w:p>
          <w:p w14:paraId="286F43F0" w14:textId="31B28BEB" w:rsidR="00C14A75" w:rsidRPr="00E0199A" w:rsidRDefault="00C14A75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00958759" w14:textId="24A0AA2D" w:rsidR="00520A2B" w:rsidRPr="00E0199A" w:rsidRDefault="00520A2B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впровадження нових адресних форм індивідуальної та групової підтримки співробітників Університету, які реалізують пріоритетні напрями його діяльності; </w:t>
            </w:r>
          </w:p>
          <w:p w14:paraId="63F21BE8" w14:textId="77777777" w:rsidR="00520A2B" w:rsidRPr="00E0199A" w:rsidRDefault="00520A2B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динаміка розвитку соціальних програм для співробітників та студентів (їх кількість та обсяги фінансування); </w:t>
            </w:r>
          </w:p>
          <w:p w14:paraId="628943C2" w14:textId="77777777" w:rsidR="00520A2B" w:rsidRPr="00E0199A" w:rsidRDefault="00520A2B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кількість проведених заходів, що спрямовані на покращення рівня соціального захисту співробітників і студентів.</w:t>
            </w:r>
          </w:p>
          <w:p w14:paraId="6461830B" w14:textId="77777777" w:rsidR="00C14A75" w:rsidRPr="00E0199A" w:rsidRDefault="00C14A75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  <w:p w14:paraId="4F8E1645" w14:textId="75749745" w:rsidR="00C14A75" w:rsidRPr="00E0199A" w:rsidRDefault="00C14A75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6B79779" w14:textId="6D0C1743" w:rsidR="00FA41BD" w:rsidRPr="00E0199A" w:rsidRDefault="00FA41BD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p w14:paraId="3E944031" w14:textId="586F7D07" w:rsidR="0086502E" w:rsidRPr="00E0199A" w:rsidRDefault="0086502E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</w:p>
    <w:p w14:paraId="43BB1923" w14:textId="70F66C67" w:rsidR="00CD45E2" w:rsidRPr="00E0199A" w:rsidRDefault="00CD45E2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sz w:val="20"/>
          <w:szCs w:val="20"/>
          <w:lang w:val="uk-UA"/>
        </w:rPr>
      </w:pPr>
      <w:r w:rsidRPr="00E0199A">
        <w:rPr>
          <w:b/>
          <w:bCs/>
          <w:sz w:val="20"/>
          <w:szCs w:val="20"/>
          <w:lang w:val="uk-UA"/>
        </w:rPr>
        <w:t xml:space="preserve">ПРІОРИТЕТ </w:t>
      </w:r>
      <w:r w:rsidR="005848CD" w:rsidRPr="00E0199A">
        <w:rPr>
          <w:b/>
          <w:bCs/>
          <w:sz w:val="20"/>
          <w:szCs w:val="20"/>
          <w:lang w:val="en-US"/>
        </w:rPr>
        <w:t>G</w:t>
      </w:r>
      <w:r w:rsidRPr="00E0199A">
        <w:rPr>
          <w:b/>
          <w:bCs/>
          <w:sz w:val="20"/>
          <w:szCs w:val="20"/>
          <w:lang w:val="uk-UA"/>
        </w:rPr>
        <w:t>. ПРОЗОРІСТЬ ТА ПУБЛІЧНІСТЬ</w:t>
      </w:r>
    </w:p>
    <w:p w14:paraId="64729F67" w14:textId="77777777" w:rsidR="00B819D6" w:rsidRPr="00E0199A" w:rsidRDefault="00B819D6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93"/>
        <w:gridCol w:w="2269"/>
        <w:gridCol w:w="5514"/>
        <w:gridCol w:w="5570"/>
      </w:tblGrid>
      <w:tr w:rsidR="00B819D6" w:rsidRPr="00E0199A" w14:paraId="4D2F0907" w14:textId="77777777" w:rsidTr="00A94EB6">
        <w:tc>
          <w:tcPr>
            <w:tcW w:w="2093" w:type="dxa"/>
          </w:tcPr>
          <w:p w14:paraId="1C5A22BD" w14:textId="77777777" w:rsidR="00B819D6" w:rsidRPr="00E0199A" w:rsidRDefault="00B819D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Стратегічні цілі</w:t>
            </w:r>
          </w:p>
        </w:tc>
        <w:tc>
          <w:tcPr>
            <w:tcW w:w="2269" w:type="dxa"/>
          </w:tcPr>
          <w:p w14:paraId="48F36ADA" w14:textId="77777777" w:rsidR="00B819D6" w:rsidRPr="00E0199A" w:rsidRDefault="00B819D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0199A">
              <w:rPr>
                <w:b/>
                <w:bCs/>
                <w:sz w:val="20"/>
                <w:szCs w:val="20"/>
                <w:lang w:val="uk-UA"/>
              </w:rPr>
              <w:t>Оперативні цілі</w:t>
            </w:r>
          </w:p>
        </w:tc>
        <w:tc>
          <w:tcPr>
            <w:tcW w:w="5514" w:type="dxa"/>
          </w:tcPr>
          <w:p w14:paraId="3D56FDE5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 xml:space="preserve">Заходи досягнення:  </w:t>
            </w:r>
          </w:p>
          <w:p w14:paraId="4D5705B8" w14:textId="77777777" w:rsidR="00B819D6" w:rsidRPr="00E0199A" w:rsidRDefault="00B819D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2"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70" w:type="dxa"/>
          </w:tcPr>
          <w:p w14:paraId="1E834148" w14:textId="77777777" w:rsidR="00B819D6" w:rsidRPr="00E0199A" w:rsidRDefault="00B819D6" w:rsidP="00E90E69">
            <w:pPr>
              <w:suppressLineNumbers/>
              <w:tabs>
                <w:tab w:val="left" w:pos="360"/>
              </w:tabs>
              <w:suppressAutoHyphens/>
              <w:spacing w:after="0" w:line="240" w:lineRule="auto"/>
              <w:ind w:left="426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E0199A"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  <w:t>Індикатори виконання:</w:t>
            </w:r>
          </w:p>
          <w:p w14:paraId="2C6C2E0A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819D6" w:rsidRPr="00E0199A" w14:paraId="4C2DAA25" w14:textId="77777777" w:rsidTr="0034142C">
        <w:trPr>
          <w:trHeight w:val="661"/>
        </w:trPr>
        <w:tc>
          <w:tcPr>
            <w:tcW w:w="2093" w:type="dxa"/>
          </w:tcPr>
          <w:p w14:paraId="207A31C1" w14:textId="29F92007" w:rsidR="00B819D6" w:rsidRPr="00E0199A" w:rsidRDefault="00B819D6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t>G.1</w:t>
            </w:r>
            <w:r w:rsidRPr="00E0199A">
              <w:rPr>
                <w:sz w:val="20"/>
                <w:szCs w:val="20"/>
                <w:lang w:val="uk-UA"/>
              </w:rPr>
              <w:t xml:space="preserve"> . Просування в сучасному інформаційному просторі</w:t>
            </w:r>
          </w:p>
        </w:tc>
        <w:tc>
          <w:tcPr>
            <w:tcW w:w="2269" w:type="dxa"/>
          </w:tcPr>
          <w:p w14:paraId="431A0FF3" w14:textId="193C8A1A" w:rsidR="006E3FC2" w:rsidRPr="00E0199A" w:rsidRDefault="00B819D6" w:rsidP="00E90E69">
            <w:pPr>
              <w:pStyle w:val="NormalWeb"/>
              <w:suppressLineNumbers/>
              <w:tabs>
                <w:tab w:val="left" w:pos="708"/>
                <w:tab w:val="left" w:pos="2830"/>
              </w:tabs>
              <w:suppressAutoHyphens/>
              <w:spacing w:before="0" w:beforeAutospacing="0" w:after="0" w:afterAutospacing="0"/>
              <w:jc w:val="both"/>
              <w:rPr>
                <w:rFonts w:eastAsiaTheme="minorEastAsia"/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 xml:space="preserve">G.1.1. </w:t>
            </w:r>
            <w:r w:rsidRPr="00E0199A">
              <w:rPr>
                <w:rFonts w:eastAsiaTheme="minorEastAsia"/>
                <w:kern w:val="24"/>
                <w:sz w:val="20"/>
                <w:szCs w:val="20"/>
                <w:lang w:val="uk-UA"/>
              </w:rPr>
              <w:t xml:space="preserve"> </w:t>
            </w:r>
            <w:r w:rsidR="006E3FC2" w:rsidRPr="00E0199A">
              <w:rPr>
                <w:bCs/>
                <w:sz w:val="20"/>
                <w:szCs w:val="20"/>
                <w:lang w:val="uk-UA"/>
              </w:rPr>
              <w:t>Ребрендінг університету в умовах тимчасового переміщення</w:t>
            </w:r>
            <w:r w:rsidR="006E3FC2" w:rsidRPr="00E0199A">
              <w:rPr>
                <w:rFonts w:eastAsiaTheme="minorEastAsia"/>
                <w:kern w:val="24"/>
                <w:sz w:val="20"/>
                <w:szCs w:val="20"/>
                <w:lang w:val="uk-UA"/>
              </w:rPr>
              <w:t xml:space="preserve"> </w:t>
            </w:r>
          </w:p>
          <w:p w14:paraId="19AF4A60" w14:textId="5856A749" w:rsidR="00B819D6" w:rsidRPr="00E0199A" w:rsidRDefault="006E3FC2" w:rsidP="00E90E69">
            <w:pPr>
              <w:pStyle w:val="NormalWeb"/>
              <w:suppressLineNumbers/>
              <w:tabs>
                <w:tab w:val="left" w:pos="708"/>
                <w:tab w:val="left" w:pos="2830"/>
              </w:tabs>
              <w:suppressAutoHyphens/>
              <w:spacing w:before="0" w:beforeAutospacing="0" w:after="0" w:afterAutospacing="0"/>
              <w:jc w:val="both"/>
              <w:rPr>
                <w:kern w:val="24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G</w:t>
            </w:r>
            <w:r w:rsidR="00060702" w:rsidRPr="00E0199A">
              <w:rPr>
                <w:bCs/>
                <w:sz w:val="20"/>
                <w:szCs w:val="20"/>
                <w:lang w:val="uk-UA"/>
              </w:rPr>
              <w:t>.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1.2. </w:t>
            </w:r>
            <w:r w:rsidR="00060702" w:rsidRPr="00E0199A">
              <w:rPr>
                <w:rFonts w:eastAsiaTheme="minorEastAsia"/>
                <w:kern w:val="24"/>
                <w:sz w:val="20"/>
                <w:szCs w:val="20"/>
                <w:lang w:val="uk-UA"/>
              </w:rPr>
              <w:t>П</w:t>
            </w:r>
            <w:r w:rsidR="00060702" w:rsidRPr="00E0199A">
              <w:rPr>
                <w:kern w:val="24"/>
                <w:sz w:val="20"/>
                <w:szCs w:val="20"/>
                <w:lang w:val="uk-UA"/>
              </w:rPr>
              <w:t xml:space="preserve">остійне </w:t>
            </w:r>
            <w:r w:rsidR="00B819D6" w:rsidRPr="00E0199A">
              <w:rPr>
                <w:kern w:val="24"/>
                <w:sz w:val="20"/>
                <w:szCs w:val="20"/>
                <w:lang w:val="uk-UA"/>
              </w:rPr>
              <w:lastRenderedPageBreak/>
              <w:t>створення якісного контенту (новини, фото, відео).</w:t>
            </w:r>
          </w:p>
          <w:p w14:paraId="0AD37549" w14:textId="26E1EBFA" w:rsidR="00B819D6" w:rsidRPr="00E0199A" w:rsidRDefault="00060702" w:rsidP="00E90E69">
            <w:pPr>
              <w:pStyle w:val="NormalWeb"/>
              <w:suppressLineNumbers/>
              <w:tabs>
                <w:tab w:val="left" w:pos="708"/>
                <w:tab w:val="left" w:pos="2830"/>
              </w:tabs>
              <w:suppressAutoHyphens/>
              <w:spacing w:before="0" w:beforeAutospacing="0" w:after="0" w:afterAutospacing="0"/>
              <w:jc w:val="both"/>
              <w:rPr>
                <w:iCs/>
                <w:kern w:val="24"/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G.</w:t>
            </w:r>
            <w:r w:rsidRPr="00E0199A">
              <w:rPr>
                <w:kern w:val="24"/>
                <w:sz w:val="20"/>
                <w:szCs w:val="20"/>
                <w:lang w:val="uk-UA"/>
              </w:rPr>
              <w:t>1.</w:t>
            </w:r>
            <w:r w:rsidR="004B24F6" w:rsidRPr="00E0199A">
              <w:rPr>
                <w:kern w:val="24"/>
                <w:sz w:val="20"/>
                <w:szCs w:val="20"/>
                <w:lang w:val="uk-UA"/>
              </w:rPr>
              <w:t>3</w:t>
            </w:r>
            <w:r w:rsidRPr="00E0199A">
              <w:rPr>
                <w:kern w:val="24"/>
                <w:sz w:val="20"/>
                <w:szCs w:val="20"/>
                <w:lang w:val="uk-UA"/>
              </w:rPr>
              <w:t xml:space="preserve">. </w:t>
            </w:r>
            <w:r w:rsidRPr="00E0199A">
              <w:rPr>
                <w:iCs/>
                <w:sz w:val="20"/>
                <w:szCs w:val="20"/>
                <w:lang w:val="uk-UA"/>
              </w:rPr>
              <w:t>Розміщення рекламних меседжів у соціальних мережах</w:t>
            </w:r>
            <w:r w:rsidR="004B24F6" w:rsidRPr="00E0199A">
              <w:rPr>
                <w:iCs/>
                <w:sz w:val="20"/>
                <w:szCs w:val="20"/>
                <w:lang w:val="uk-UA"/>
              </w:rPr>
              <w:t>.</w:t>
            </w:r>
          </w:p>
        </w:tc>
        <w:tc>
          <w:tcPr>
            <w:tcW w:w="5514" w:type="dxa"/>
          </w:tcPr>
          <w:p w14:paraId="6B62573D" w14:textId="4601F3DF" w:rsidR="004B24F6" w:rsidRPr="00E0199A" w:rsidRDefault="004B24F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• </w:t>
            </w:r>
            <w:r w:rsidR="000E3DDE"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оновлення брендингової стратегії в умовах тимчасового переміщення</w:t>
            </w:r>
            <w:r w:rsidRPr="00E0199A">
              <w:rPr>
                <w:sz w:val="20"/>
                <w:szCs w:val="20"/>
                <w:lang w:val="uk-UA"/>
              </w:rPr>
              <w:t xml:space="preserve">; </w:t>
            </w:r>
          </w:p>
          <w:p w14:paraId="0B6E4CE3" w14:textId="77777777" w:rsidR="004B24F6" w:rsidRPr="00E0199A" w:rsidRDefault="004B24F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висвітлення діяльності університету на офіційних веб-ресурсах та у ЗМІ; </w:t>
            </w:r>
          </w:p>
          <w:p w14:paraId="1BA2A2BA" w14:textId="218847E1" w:rsidR="004B24F6" w:rsidRPr="00E0199A" w:rsidRDefault="004B24F6" w:rsidP="00E90E69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Cs/>
                <w:sz w:val="20"/>
                <w:szCs w:val="20"/>
                <w:lang w:val="uk-UA" w:eastAsia="en-US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долучення кафедр до оновлення і доповнення інформації на </w:t>
            </w:r>
            <w:r w:rsidRPr="00E0199A">
              <w:rPr>
                <w:sz w:val="20"/>
                <w:szCs w:val="20"/>
                <w:lang w:val="uk-UA"/>
              </w:rPr>
              <w:lastRenderedPageBreak/>
              <w:t>офіційному сайті університету (історія закладу вищої освіти, калькулятор ЗНО тощо).</w:t>
            </w:r>
          </w:p>
          <w:p w14:paraId="6D471F86" w14:textId="0CAE4A80" w:rsidR="006E3FC2" w:rsidRPr="00E90E69" w:rsidRDefault="00094B1C" w:rsidP="00E90E69">
            <w:pPr>
              <w:numPr>
                <w:ilvl w:val="0"/>
                <w:numId w:val="22"/>
              </w:numPr>
              <w:suppressLineNumbers/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contextualSpacing/>
              <w:jc w:val="both"/>
              <w:rPr>
                <w:rFonts w:eastAsiaTheme="minorHAnsi"/>
                <w:bCs/>
                <w:sz w:val="20"/>
                <w:szCs w:val="20"/>
                <w:lang w:val="uk-UA" w:eastAsia="en-US"/>
              </w:rPr>
            </w:pPr>
            <w:r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активізація діяльності кафедр</w:t>
            </w:r>
            <w:r w:rsidR="00397598"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 xml:space="preserve"> та факультетів</w:t>
            </w:r>
            <w:r w:rsidRPr="00E0199A">
              <w:rPr>
                <w:rFonts w:eastAsiaTheme="minorHAnsi"/>
                <w:bCs/>
                <w:sz w:val="20"/>
                <w:szCs w:val="20"/>
                <w:lang w:val="uk-UA" w:eastAsia="en-US"/>
              </w:rPr>
              <w:t xml:space="preserve"> щодо висвітлення актуальних подій, заходів, що відбувають в межах кафедри, популяризації здобутків та наукових досягнень викладачів та здобувачів освіти за відповідними ОП.</w:t>
            </w:r>
          </w:p>
        </w:tc>
        <w:tc>
          <w:tcPr>
            <w:tcW w:w="5570" w:type="dxa"/>
          </w:tcPr>
          <w:p w14:paraId="3FD4B08F" w14:textId="77777777" w:rsidR="00E76CA0" w:rsidRPr="00E0199A" w:rsidRDefault="004B24F6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lastRenderedPageBreak/>
              <w:t xml:space="preserve">• актуальний постинґ у соціальних мережах; </w:t>
            </w:r>
          </w:p>
          <w:p w14:paraId="7F56A63A" w14:textId="77777777" w:rsidR="00E76CA0" w:rsidRPr="00E0199A" w:rsidRDefault="004B24F6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кількість підписників на сторінці університету в соціальних мережах; </w:t>
            </w:r>
          </w:p>
          <w:p w14:paraId="169162EB" w14:textId="1CA7D99F" w:rsidR="00060702" w:rsidRPr="00E0199A" w:rsidRDefault="004B24F6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статистика відвідувань офіційних веб-ресурсів університету</w:t>
            </w:r>
            <w:r w:rsidR="00397598" w:rsidRPr="00E0199A">
              <w:rPr>
                <w:sz w:val="20"/>
                <w:szCs w:val="20"/>
                <w:lang w:val="uk-UA"/>
              </w:rPr>
              <w:t>, факультету тощо</w:t>
            </w:r>
            <w:r w:rsidR="00E76CA0" w:rsidRPr="00E0199A">
              <w:rPr>
                <w:sz w:val="20"/>
                <w:szCs w:val="20"/>
                <w:lang w:val="uk-UA"/>
              </w:rPr>
              <w:t>.</w:t>
            </w:r>
          </w:p>
          <w:p w14:paraId="45A8B54B" w14:textId="77777777" w:rsidR="00094B1C" w:rsidRPr="00E0199A" w:rsidRDefault="00094B1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  <w:p w14:paraId="5C9145BF" w14:textId="7E190C48" w:rsidR="00094B1C" w:rsidRPr="00E0199A" w:rsidRDefault="00094B1C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819D6" w:rsidRPr="00E0199A" w14:paraId="03C6DBF5" w14:textId="77777777" w:rsidTr="00A94EB6">
        <w:trPr>
          <w:trHeight w:val="3071"/>
        </w:trPr>
        <w:tc>
          <w:tcPr>
            <w:tcW w:w="2093" w:type="dxa"/>
          </w:tcPr>
          <w:p w14:paraId="3C01B124" w14:textId="77777777" w:rsidR="00B819D6" w:rsidRPr="00E0199A" w:rsidRDefault="00B819D6" w:rsidP="00E90E69">
            <w:pPr>
              <w:pStyle w:val="ListParagraph"/>
              <w:suppressLineNumbers/>
              <w:suppressAutoHyphens/>
              <w:spacing w:after="0" w:line="240" w:lineRule="auto"/>
              <w:ind w:left="0"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G.2.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 xml:space="preserve">  </w:t>
            </w:r>
            <w:r w:rsidRPr="00E0199A">
              <w:rPr>
                <w:sz w:val="20"/>
                <w:szCs w:val="20"/>
                <w:lang w:val="uk-UA"/>
              </w:rPr>
              <w:t xml:space="preserve"> Іміджеве позиціонування та популяризація діяльності університету</w:t>
            </w:r>
          </w:p>
          <w:p w14:paraId="17A16B6D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14:paraId="2F7C2A4B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G.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2.1. висвітлення важливих університетських заходів на місцевих і регіональних телеканалах, друкованих виданнях, сайтах новин.</w:t>
            </w:r>
          </w:p>
          <w:p w14:paraId="496F5C15" w14:textId="77777777" w:rsidR="00B819D6" w:rsidRPr="00E0199A" w:rsidRDefault="00B819D6" w:rsidP="00E90E69">
            <w:pPr>
              <w:suppressLineNumbers/>
              <w:suppressAutoHyphens/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G.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2.2. інформування громадськості про досягнення і міжнародні стажування студентів з метою профорієнтації.</w:t>
            </w:r>
          </w:p>
          <w:p w14:paraId="26A2E228" w14:textId="4C026519" w:rsidR="00B819D6" w:rsidRPr="00E0199A" w:rsidRDefault="00B819D6" w:rsidP="00E90E69">
            <w:pPr>
              <w:suppressLineNumbers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color w:val="000000" w:themeColor="text1"/>
                <w:sz w:val="20"/>
                <w:szCs w:val="20"/>
                <w:lang w:val="uk-UA"/>
              </w:rPr>
            </w:pPr>
            <w:r w:rsidRPr="00E0199A">
              <w:rPr>
                <w:bCs/>
                <w:sz w:val="20"/>
                <w:szCs w:val="20"/>
                <w:lang w:val="uk-UA"/>
              </w:rPr>
              <w:t>G.</w:t>
            </w:r>
            <w:r w:rsidRPr="00E0199A">
              <w:rPr>
                <w:rFonts w:eastAsia="Calibri"/>
                <w:sz w:val="20"/>
                <w:szCs w:val="20"/>
                <w:lang w:val="uk-UA"/>
              </w:rPr>
              <w:t>2.3. інформування громадськості про досягнення і міжнародні стажування співробітників і викладачів з метою покращення та зміцнення позитивного іміджу університету.</w:t>
            </w:r>
          </w:p>
        </w:tc>
        <w:tc>
          <w:tcPr>
            <w:tcW w:w="5514" w:type="dxa"/>
          </w:tcPr>
          <w:p w14:paraId="338D0D0C" w14:textId="77777777" w:rsidR="00E76CA0" w:rsidRPr="00E0199A" w:rsidRDefault="00E76CA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 xml:space="preserve">• проведення прес-конференцій; </w:t>
            </w:r>
          </w:p>
          <w:p w14:paraId="51CADCCA" w14:textId="68F61522" w:rsidR="00E76CA0" w:rsidRPr="00E0199A" w:rsidRDefault="00E76CA0" w:rsidP="00E90E69">
            <w:pPr>
              <w:pStyle w:val="ListParagraph"/>
              <w:suppressLineNumbers/>
              <w:suppressAutoHyphens/>
              <w:spacing w:after="0" w:line="240" w:lineRule="auto"/>
              <w:ind w:left="78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проведення рекламних кампаній.</w:t>
            </w:r>
          </w:p>
        </w:tc>
        <w:tc>
          <w:tcPr>
            <w:tcW w:w="5570" w:type="dxa"/>
          </w:tcPr>
          <w:p w14:paraId="1BDCA2DE" w14:textId="79A37518" w:rsidR="00E76CA0" w:rsidRPr="00E0199A" w:rsidRDefault="00E76CA0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кількість позитивних матеріалів про університет, опублікованих у ЗМІ;</w:t>
            </w:r>
          </w:p>
          <w:p w14:paraId="3DCE5A01" w14:textId="6E54703E" w:rsidR="00E76CA0" w:rsidRPr="00E0199A" w:rsidRDefault="00E76CA0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  <w:r w:rsidRPr="00E0199A">
              <w:rPr>
                <w:sz w:val="20"/>
                <w:szCs w:val="20"/>
                <w:lang w:val="uk-UA"/>
              </w:rPr>
              <w:t>• щорічний рейтинг інформаційної активності факультетів університету.</w:t>
            </w:r>
          </w:p>
          <w:p w14:paraId="22A35AB1" w14:textId="77777777" w:rsidR="00E76CA0" w:rsidRPr="00E0199A" w:rsidRDefault="00E76CA0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sz w:val="20"/>
                <w:szCs w:val="20"/>
                <w:lang w:val="uk-UA"/>
              </w:rPr>
            </w:pPr>
          </w:p>
          <w:p w14:paraId="6E851D6D" w14:textId="0C607FFB" w:rsidR="006E3FC2" w:rsidRPr="00E0199A" w:rsidRDefault="006E3FC2" w:rsidP="00E90E69">
            <w:pPr>
              <w:pStyle w:val="ListParagraph"/>
              <w:suppressLineNumbers/>
              <w:tabs>
                <w:tab w:val="left" w:pos="142"/>
                <w:tab w:val="left" w:pos="284"/>
              </w:tabs>
              <w:suppressAutoHyphens/>
              <w:spacing w:after="0" w:line="240" w:lineRule="auto"/>
              <w:ind w:left="57"/>
              <w:jc w:val="both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14:paraId="72118BDE" w14:textId="77777777" w:rsidR="00FE4A5B" w:rsidRPr="00E90E69" w:rsidRDefault="00FE4A5B" w:rsidP="00E90E69">
      <w:pPr>
        <w:suppressLineNumbers/>
        <w:suppressAutoHyphens/>
        <w:autoSpaceDE w:val="0"/>
        <w:autoSpaceDN w:val="0"/>
        <w:adjustRightInd w:val="0"/>
        <w:spacing w:after="0" w:line="240" w:lineRule="auto"/>
        <w:ind w:right="2"/>
        <w:rPr>
          <w:b/>
          <w:bCs/>
          <w:iCs/>
          <w:sz w:val="20"/>
          <w:szCs w:val="20"/>
          <w:lang w:val="uk-UA"/>
        </w:rPr>
        <w:sectPr w:rsidR="00FE4A5B" w:rsidRPr="00E90E69" w:rsidSect="00C37450">
          <w:headerReference w:type="default" r:id="rId8"/>
          <w:pgSz w:w="16838" w:h="11906" w:orient="landscape"/>
          <w:pgMar w:top="851" w:right="1134" w:bottom="851" w:left="709" w:header="709" w:footer="709" w:gutter="0"/>
          <w:cols w:space="708"/>
          <w:titlePg/>
          <w:docGrid w:linePitch="381"/>
        </w:sectPr>
      </w:pPr>
    </w:p>
    <w:p w14:paraId="7A1130C1" w14:textId="77777777" w:rsidR="00D536F0" w:rsidRPr="00E0199A" w:rsidRDefault="00D536F0" w:rsidP="00E90E69">
      <w:pPr>
        <w:suppressLineNumbers/>
        <w:suppressAutoHyphens/>
        <w:spacing w:after="0" w:line="240" w:lineRule="auto"/>
        <w:rPr>
          <w:sz w:val="20"/>
          <w:szCs w:val="20"/>
          <w:lang w:val="uk-UA"/>
        </w:rPr>
      </w:pPr>
    </w:p>
    <w:sectPr w:rsidR="00D536F0" w:rsidRPr="00E0199A" w:rsidSect="004274A1">
      <w:pgSz w:w="11906" w:h="16838"/>
      <w:pgMar w:top="709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50B0" w14:textId="77777777" w:rsidR="00FC5374" w:rsidRDefault="00FC5374">
      <w:pPr>
        <w:spacing w:after="0" w:line="240" w:lineRule="auto"/>
      </w:pPr>
      <w:r>
        <w:separator/>
      </w:r>
    </w:p>
  </w:endnote>
  <w:endnote w:type="continuationSeparator" w:id="0">
    <w:p w14:paraId="4FBE62D9" w14:textId="77777777" w:rsidR="00FC5374" w:rsidRDefault="00FC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+mn-ea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208D" w14:textId="77777777" w:rsidR="00FC5374" w:rsidRDefault="00FC5374">
      <w:pPr>
        <w:spacing w:after="0" w:line="240" w:lineRule="auto"/>
      </w:pPr>
      <w:r>
        <w:separator/>
      </w:r>
    </w:p>
  </w:footnote>
  <w:footnote w:type="continuationSeparator" w:id="0">
    <w:p w14:paraId="3821E7E8" w14:textId="77777777" w:rsidR="00FC5374" w:rsidRDefault="00FC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ACC4" w14:textId="77777777" w:rsidR="00C42681" w:rsidRPr="009B0AAA" w:rsidRDefault="00C42681" w:rsidP="009B0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AE3"/>
    <w:multiLevelType w:val="hybridMultilevel"/>
    <w:tmpl w:val="7CECDCB4"/>
    <w:lvl w:ilvl="0" w:tplc="0422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 w15:restartNumberingAfterBreak="0">
    <w:nsid w:val="07226372"/>
    <w:multiLevelType w:val="hybridMultilevel"/>
    <w:tmpl w:val="8326B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51A"/>
    <w:multiLevelType w:val="hybridMultilevel"/>
    <w:tmpl w:val="2696CC54"/>
    <w:lvl w:ilvl="0" w:tplc="77AC9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77B"/>
    <w:multiLevelType w:val="hybridMultilevel"/>
    <w:tmpl w:val="3D58C498"/>
    <w:lvl w:ilvl="0" w:tplc="E36A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7504"/>
    <w:multiLevelType w:val="hybridMultilevel"/>
    <w:tmpl w:val="B1629C98"/>
    <w:lvl w:ilvl="0" w:tplc="2EFE190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44945"/>
    <w:multiLevelType w:val="hybridMultilevel"/>
    <w:tmpl w:val="C4E2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E8C"/>
    <w:multiLevelType w:val="hybridMultilevel"/>
    <w:tmpl w:val="3A1A5E8E"/>
    <w:lvl w:ilvl="0" w:tplc="6CF8C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1AC2"/>
    <w:multiLevelType w:val="hybridMultilevel"/>
    <w:tmpl w:val="0372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E4B45"/>
    <w:multiLevelType w:val="hybridMultilevel"/>
    <w:tmpl w:val="28DA8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978DA"/>
    <w:multiLevelType w:val="hybridMultilevel"/>
    <w:tmpl w:val="3730B0A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1D9B7711"/>
    <w:multiLevelType w:val="hybridMultilevel"/>
    <w:tmpl w:val="BDB206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1575D"/>
    <w:multiLevelType w:val="hybridMultilevel"/>
    <w:tmpl w:val="787EFD66"/>
    <w:lvl w:ilvl="0" w:tplc="8AFC8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67F1"/>
    <w:multiLevelType w:val="hybridMultilevel"/>
    <w:tmpl w:val="D07493BA"/>
    <w:lvl w:ilvl="0" w:tplc="2EFE19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9478D"/>
    <w:multiLevelType w:val="hybridMultilevel"/>
    <w:tmpl w:val="F0545AF8"/>
    <w:lvl w:ilvl="0" w:tplc="6F76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4891"/>
    <w:multiLevelType w:val="hybridMultilevel"/>
    <w:tmpl w:val="22B03F18"/>
    <w:lvl w:ilvl="0" w:tplc="5B066B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21326"/>
    <w:multiLevelType w:val="hybridMultilevel"/>
    <w:tmpl w:val="B3C644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C7AF0"/>
    <w:multiLevelType w:val="hybridMultilevel"/>
    <w:tmpl w:val="D03ABDFA"/>
    <w:lvl w:ilvl="0" w:tplc="F36E7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D6283"/>
    <w:multiLevelType w:val="hybridMultilevel"/>
    <w:tmpl w:val="00C03BDC"/>
    <w:lvl w:ilvl="0" w:tplc="5AD2A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96EC1"/>
    <w:multiLevelType w:val="hybridMultilevel"/>
    <w:tmpl w:val="1D42CB16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9" w15:restartNumberingAfterBreak="0">
    <w:nsid w:val="40CF0D89"/>
    <w:multiLevelType w:val="hybridMultilevel"/>
    <w:tmpl w:val="CBD0A2B8"/>
    <w:lvl w:ilvl="0" w:tplc="2EFE1906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E54C0A"/>
    <w:multiLevelType w:val="hybridMultilevel"/>
    <w:tmpl w:val="01684380"/>
    <w:lvl w:ilvl="0" w:tplc="9CE8D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54662"/>
    <w:multiLevelType w:val="hybridMultilevel"/>
    <w:tmpl w:val="A11AEB5E"/>
    <w:lvl w:ilvl="0" w:tplc="10DC4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16F0C"/>
    <w:multiLevelType w:val="hybridMultilevel"/>
    <w:tmpl w:val="F29628CC"/>
    <w:lvl w:ilvl="0" w:tplc="836AEDFE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75E4"/>
    <w:multiLevelType w:val="hybridMultilevel"/>
    <w:tmpl w:val="1388CA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255B1"/>
    <w:multiLevelType w:val="hybridMultilevel"/>
    <w:tmpl w:val="108C3F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E6F73"/>
    <w:multiLevelType w:val="hybridMultilevel"/>
    <w:tmpl w:val="999C996C"/>
    <w:lvl w:ilvl="0" w:tplc="2EFE19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2259"/>
    <w:multiLevelType w:val="hybridMultilevel"/>
    <w:tmpl w:val="D7A2D8CC"/>
    <w:lvl w:ilvl="0" w:tplc="A5D202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11D28"/>
    <w:multiLevelType w:val="hybridMultilevel"/>
    <w:tmpl w:val="56AEC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14A45"/>
    <w:multiLevelType w:val="hybridMultilevel"/>
    <w:tmpl w:val="49243FEC"/>
    <w:lvl w:ilvl="0" w:tplc="C5EE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E5A1C"/>
    <w:multiLevelType w:val="hybridMultilevel"/>
    <w:tmpl w:val="5464D7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831BB"/>
    <w:multiLevelType w:val="hybridMultilevel"/>
    <w:tmpl w:val="449EDD4E"/>
    <w:lvl w:ilvl="0" w:tplc="2EFE19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72757"/>
    <w:multiLevelType w:val="hybridMultilevel"/>
    <w:tmpl w:val="89CE0878"/>
    <w:lvl w:ilvl="0" w:tplc="A7308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C3A09"/>
    <w:multiLevelType w:val="hybridMultilevel"/>
    <w:tmpl w:val="D5A6BC50"/>
    <w:lvl w:ilvl="0" w:tplc="2EFE19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C1402"/>
    <w:multiLevelType w:val="hybridMultilevel"/>
    <w:tmpl w:val="EB2487F6"/>
    <w:lvl w:ilvl="0" w:tplc="A5D202B4">
      <w:start w:val="3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4" w15:restartNumberingAfterBreak="0">
    <w:nsid w:val="7667253B"/>
    <w:multiLevelType w:val="hybridMultilevel"/>
    <w:tmpl w:val="B3EE1FCE"/>
    <w:lvl w:ilvl="0" w:tplc="552A980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76" w:hanging="360"/>
      </w:pPr>
    </w:lvl>
    <w:lvl w:ilvl="2" w:tplc="2000001B" w:tentative="1">
      <w:start w:val="1"/>
      <w:numFmt w:val="lowerRoman"/>
      <w:lvlText w:val="%3."/>
      <w:lvlJc w:val="right"/>
      <w:pPr>
        <w:ind w:left="2496" w:hanging="180"/>
      </w:pPr>
    </w:lvl>
    <w:lvl w:ilvl="3" w:tplc="2000000F" w:tentative="1">
      <w:start w:val="1"/>
      <w:numFmt w:val="decimal"/>
      <w:lvlText w:val="%4."/>
      <w:lvlJc w:val="left"/>
      <w:pPr>
        <w:ind w:left="3216" w:hanging="360"/>
      </w:pPr>
    </w:lvl>
    <w:lvl w:ilvl="4" w:tplc="20000019" w:tentative="1">
      <w:start w:val="1"/>
      <w:numFmt w:val="lowerLetter"/>
      <w:lvlText w:val="%5."/>
      <w:lvlJc w:val="left"/>
      <w:pPr>
        <w:ind w:left="3936" w:hanging="360"/>
      </w:pPr>
    </w:lvl>
    <w:lvl w:ilvl="5" w:tplc="2000001B" w:tentative="1">
      <w:start w:val="1"/>
      <w:numFmt w:val="lowerRoman"/>
      <w:lvlText w:val="%6."/>
      <w:lvlJc w:val="right"/>
      <w:pPr>
        <w:ind w:left="4656" w:hanging="180"/>
      </w:pPr>
    </w:lvl>
    <w:lvl w:ilvl="6" w:tplc="2000000F" w:tentative="1">
      <w:start w:val="1"/>
      <w:numFmt w:val="decimal"/>
      <w:lvlText w:val="%7."/>
      <w:lvlJc w:val="left"/>
      <w:pPr>
        <w:ind w:left="5376" w:hanging="360"/>
      </w:pPr>
    </w:lvl>
    <w:lvl w:ilvl="7" w:tplc="20000019" w:tentative="1">
      <w:start w:val="1"/>
      <w:numFmt w:val="lowerLetter"/>
      <w:lvlText w:val="%8."/>
      <w:lvlJc w:val="left"/>
      <w:pPr>
        <w:ind w:left="6096" w:hanging="360"/>
      </w:pPr>
    </w:lvl>
    <w:lvl w:ilvl="8" w:tplc="2000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7FB806E1"/>
    <w:multiLevelType w:val="hybridMultilevel"/>
    <w:tmpl w:val="B772424C"/>
    <w:lvl w:ilvl="0" w:tplc="F80EF7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2114393165">
    <w:abstractNumId w:val="0"/>
  </w:num>
  <w:num w:numId="2" w16cid:durableId="1516923301">
    <w:abstractNumId w:val="9"/>
  </w:num>
  <w:num w:numId="3" w16cid:durableId="1024601027">
    <w:abstractNumId w:val="12"/>
  </w:num>
  <w:num w:numId="4" w16cid:durableId="594706337">
    <w:abstractNumId w:val="7"/>
  </w:num>
  <w:num w:numId="5" w16cid:durableId="406152005">
    <w:abstractNumId w:val="21"/>
  </w:num>
  <w:num w:numId="6" w16cid:durableId="1444958185">
    <w:abstractNumId w:val="35"/>
  </w:num>
  <w:num w:numId="7" w16cid:durableId="1665473368">
    <w:abstractNumId w:val="5"/>
  </w:num>
  <w:num w:numId="8" w16cid:durableId="1948344789">
    <w:abstractNumId w:val="32"/>
  </w:num>
  <w:num w:numId="9" w16cid:durableId="616839238">
    <w:abstractNumId w:val="13"/>
  </w:num>
  <w:num w:numId="10" w16cid:durableId="55082897">
    <w:abstractNumId w:val="31"/>
  </w:num>
  <w:num w:numId="11" w16cid:durableId="959604669">
    <w:abstractNumId w:val="6"/>
  </w:num>
  <w:num w:numId="12" w16cid:durableId="1716734370">
    <w:abstractNumId w:val="17"/>
  </w:num>
  <w:num w:numId="13" w16cid:durableId="1818954573">
    <w:abstractNumId w:val="18"/>
  </w:num>
  <w:num w:numId="14" w16cid:durableId="571156996">
    <w:abstractNumId w:val="16"/>
  </w:num>
  <w:num w:numId="15" w16cid:durableId="566038595">
    <w:abstractNumId w:val="33"/>
  </w:num>
  <w:num w:numId="16" w16cid:durableId="402994291">
    <w:abstractNumId w:val="3"/>
  </w:num>
  <w:num w:numId="17" w16cid:durableId="1930264062">
    <w:abstractNumId w:val="28"/>
  </w:num>
  <w:num w:numId="18" w16cid:durableId="103617491">
    <w:abstractNumId w:val="11"/>
  </w:num>
  <w:num w:numId="19" w16cid:durableId="504824893">
    <w:abstractNumId w:val="20"/>
  </w:num>
  <w:num w:numId="20" w16cid:durableId="2032493012">
    <w:abstractNumId w:val="2"/>
  </w:num>
  <w:num w:numId="21" w16cid:durableId="288168678">
    <w:abstractNumId w:val="15"/>
  </w:num>
  <w:num w:numId="22" w16cid:durableId="1834641368">
    <w:abstractNumId w:val="24"/>
  </w:num>
  <w:num w:numId="23" w16cid:durableId="398134442">
    <w:abstractNumId w:val="23"/>
  </w:num>
  <w:num w:numId="24" w16cid:durableId="705301194">
    <w:abstractNumId w:val="10"/>
  </w:num>
  <w:num w:numId="25" w16cid:durableId="1367217349">
    <w:abstractNumId w:val="34"/>
  </w:num>
  <w:num w:numId="26" w16cid:durableId="2125421757">
    <w:abstractNumId w:val="8"/>
  </w:num>
  <w:num w:numId="27" w16cid:durableId="1805266699">
    <w:abstractNumId w:val="25"/>
  </w:num>
  <w:num w:numId="28" w16cid:durableId="827332150">
    <w:abstractNumId w:val="4"/>
  </w:num>
  <w:num w:numId="29" w16cid:durableId="1278174514">
    <w:abstractNumId w:val="30"/>
  </w:num>
  <w:num w:numId="30" w16cid:durableId="626277391">
    <w:abstractNumId w:val="19"/>
  </w:num>
  <w:num w:numId="31" w16cid:durableId="607850894">
    <w:abstractNumId w:val="14"/>
  </w:num>
  <w:num w:numId="32" w16cid:durableId="1359309857">
    <w:abstractNumId w:val="29"/>
  </w:num>
  <w:num w:numId="33" w16cid:durableId="182859836">
    <w:abstractNumId w:val="26"/>
  </w:num>
  <w:num w:numId="34" w16cid:durableId="314189808">
    <w:abstractNumId w:val="27"/>
  </w:num>
  <w:num w:numId="35" w16cid:durableId="1225413141">
    <w:abstractNumId w:val="1"/>
  </w:num>
  <w:num w:numId="36" w16cid:durableId="612983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0543944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D5A"/>
    <w:rsid w:val="000043DD"/>
    <w:rsid w:val="00004C44"/>
    <w:rsid w:val="000130FE"/>
    <w:rsid w:val="00025CA5"/>
    <w:rsid w:val="00027472"/>
    <w:rsid w:val="0003049E"/>
    <w:rsid w:val="000332E0"/>
    <w:rsid w:val="00044A62"/>
    <w:rsid w:val="00046957"/>
    <w:rsid w:val="00060702"/>
    <w:rsid w:val="00063929"/>
    <w:rsid w:val="00075DD8"/>
    <w:rsid w:val="000762B7"/>
    <w:rsid w:val="000819D4"/>
    <w:rsid w:val="00081D3B"/>
    <w:rsid w:val="00084730"/>
    <w:rsid w:val="00086EE4"/>
    <w:rsid w:val="00094B1C"/>
    <w:rsid w:val="00095807"/>
    <w:rsid w:val="00097671"/>
    <w:rsid w:val="000A562B"/>
    <w:rsid w:val="000B40AC"/>
    <w:rsid w:val="000B5A73"/>
    <w:rsid w:val="000D0740"/>
    <w:rsid w:val="000D616F"/>
    <w:rsid w:val="000D6CDA"/>
    <w:rsid w:val="000E11AE"/>
    <w:rsid w:val="000E3DDE"/>
    <w:rsid w:val="000E40EE"/>
    <w:rsid w:val="000E4F26"/>
    <w:rsid w:val="00102CA5"/>
    <w:rsid w:val="00110FDB"/>
    <w:rsid w:val="00115E5D"/>
    <w:rsid w:val="0012425E"/>
    <w:rsid w:val="00127CA1"/>
    <w:rsid w:val="00132D8C"/>
    <w:rsid w:val="00134DB2"/>
    <w:rsid w:val="001378E4"/>
    <w:rsid w:val="0014209D"/>
    <w:rsid w:val="001425EB"/>
    <w:rsid w:val="00144BBB"/>
    <w:rsid w:val="001562E1"/>
    <w:rsid w:val="00157B4B"/>
    <w:rsid w:val="00177104"/>
    <w:rsid w:val="001855C0"/>
    <w:rsid w:val="00195BB9"/>
    <w:rsid w:val="00196137"/>
    <w:rsid w:val="001A5F01"/>
    <w:rsid w:val="001A78FD"/>
    <w:rsid w:val="001B16F0"/>
    <w:rsid w:val="001B1DC9"/>
    <w:rsid w:val="001B7942"/>
    <w:rsid w:val="001C52EE"/>
    <w:rsid w:val="001E0C3D"/>
    <w:rsid w:val="001E11FE"/>
    <w:rsid w:val="001E1814"/>
    <w:rsid w:val="001F7107"/>
    <w:rsid w:val="001F79DF"/>
    <w:rsid w:val="00200DC5"/>
    <w:rsid w:val="00216C21"/>
    <w:rsid w:val="0022139D"/>
    <w:rsid w:val="00223DB8"/>
    <w:rsid w:val="00232C22"/>
    <w:rsid w:val="00232FB9"/>
    <w:rsid w:val="00237484"/>
    <w:rsid w:val="00240214"/>
    <w:rsid w:val="0024637B"/>
    <w:rsid w:val="00254091"/>
    <w:rsid w:val="002667B3"/>
    <w:rsid w:val="00270606"/>
    <w:rsid w:val="00271222"/>
    <w:rsid w:val="002716F4"/>
    <w:rsid w:val="00282B99"/>
    <w:rsid w:val="002878A5"/>
    <w:rsid w:val="002920E6"/>
    <w:rsid w:val="002971A5"/>
    <w:rsid w:val="002A69FB"/>
    <w:rsid w:val="002C2138"/>
    <w:rsid w:val="002C4D9E"/>
    <w:rsid w:val="002C4DBD"/>
    <w:rsid w:val="002C4F19"/>
    <w:rsid w:val="002E2208"/>
    <w:rsid w:val="00300888"/>
    <w:rsid w:val="00320F7B"/>
    <w:rsid w:val="003232D2"/>
    <w:rsid w:val="0033214C"/>
    <w:rsid w:val="003412EC"/>
    <w:rsid w:val="0034142C"/>
    <w:rsid w:val="0034413A"/>
    <w:rsid w:val="0034473D"/>
    <w:rsid w:val="00357698"/>
    <w:rsid w:val="00357837"/>
    <w:rsid w:val="00366C57"/>
    <w:rsid w:val="0036764C"/>
    <w:rsid w:val="003818A6"/>
    <w:rsid w:val="003840A0"/>
    <w:rsid w:val="00385686"/>
    <w:rsid w:val="0038695D"/>
    <w:rsid w:val="0039005E"/>
    <w:rsid w:val="003938BD"/>
    <w:rsid w:val="00397598"/>
    <w:rsid w:val="003B1F0E"/>
    <w:rsid w:val="003C3E34"/>
    <w:rsid w:val="003D012D"/>
    <w:rsid w:val="003D23C6"/>
    <w:rsid w:val="003E33B7"/>
    <w:rsid w:val="003E64D2"/>
    <w:rsid w:val="003E6F12"/>
    <w:rsid w:val="004038C6"/>
    <w:rsid w:val="00405003"/>
    <w:rsid w:val="00407CC0"/>
    <w:rsid w:val="004129BF"/>
    <w:rsid w:val="00421F9F"/>
    <w:rsid w:val="00424A03"/>
    <w:rsid w:val="004274A1"/>
    <w:rsid w:val="004301FD"/>
    <w:rsid w:val="0043609F"/>
    <w:rsid w:val="00451AD1"/>
    <w:rsid w:val="004978D8"/>
    <w:rsid w:val="00497EB3"/>
    <w:rsid w:val="004B24F6"/>
    <w:rsid w:val="004B2B35"/>
    <w:rsid w:val="004C3BDD"/>
    <w:rsid w:val="004C5B28"/>
    <w:rsid w:val="004D3460"/>
    <w:rsid w:val="004D3999"/>
    <w:rsid w:val="004E6060"/>
    <w:rsid w:val="004E69F3"/>
    <w:rsid w:val="004F17D9"/>
    <w:rsid w:val="00503FD3"/>
    <w:rsid w:val="0051156A"/>
    <w:rsid w:val="00517F96"/>
    <w:rsid w:val="00520A2B"/>
    <w:rsid w:val="00523320"/>
    <w:rsid w:val="00531DA5"/>
    <w:rsid w:val="00535FB6"/>
    <w:rsid w:val="0055754C"/>
    <w:rsid w:val="00562D12"/>
    <w:rsid w:val="0056524B"/>
    <w:rsid w:val="00570282"/>
    <w:rsid w:val="005848CD"/>
    <w:rsid w:val="005853BA"/>
    <w:rsid w:val="005A12D5"/>
    <w:rsid w:val="005A3268"/>
    <w:rsid w:val="005A326D"/>
    <w:rsid w:val="005A69B6"/>
    <w:rsid w:val="005B29BB"/>
    <w:rsid w:val="005D2C8D"/>
    <w:rsid w:val="005E402D"/>
    <w:rsid w:val="005E4AE2"/>
    <w:rsid w:val="005F2EB5"/>
    <w:rsid w:val="006160A7"/>
    <w:rsid w:val="00620495"/>
    <w:rsid w:val="006504C0"/>
    <w:rsid w:val="00656356"/>
    <w:rsid w:val="006572D3"/>
    <w:rsid w:val="006601A4"/>
    <w:rsid w:val="00665B14"/>
    <w:rsid w:val="006739DB"/>
    <w:rsid w:val="006842B7"/>
    <w:rsid w:val="00692CCE"/>
    <w:rsid w:val="00693DB0"/>
    <w:rsid w:val="006B200D"/>
    <w:rsid w:val="006B6FD2"/>
    <w:rsid w:val="006C04FF"/>
    <w:rsid w:val="006C4430"/>
    <w:rsid w:val="006C6A2D"/>
    <w:rsid w:val="006D25C3"/>
    <w:rsid w:val="006D7440"/>
    <w:rsid w:val="006E3FC2"/>
    <w:rsid w:val="006F5E05"/>
    <w:rsid w:val="006F726B"/>
    <w:rsid w:val="00701D8F"/>
    <w:rsid w:val="007031AE"/>
    <w:rsid w:val="00712509"/>
    <w:rsid w:val="007133D7"/>
    <w:rsid w:val="00733002"/>
    <w:rsid w:val="007668C7"/>
    <w:rsid w:val="007765DB"/>
    <w:rsid w:val="00784247"/>
    <w:rsid w:val="007920D2"/>
    <w:rsid w:val="007A144B"/>
    <w:rsid w:val="007A57AC"/>
    <w:rsid w:val="007A75C4"/>
    <w:rsid w:val="007C1925"/>
    <w:rsid w:val="007C73A5"/>
    <w:rsid w:val="007D71E7"/>
    <w:rsid w:val="0081307C"/>
    <w:rsid w:val="00813FD4"/>
    <w:rsid w:val="00814F26"/>
    <w:rsid w:val="008227A5"/>
    <w:rsid w:val="00824ADF"/>
    <w:rsid w:val="008267D9"/>
    <w:rsid w:val="0084720F"/>
    <w:rsid w:val="00852F57"/>
    <w:rsid w:val="008638F4"/>
    <w:rsid w:val="0086502E"/>
    <w:rsid w:val="00871170"/>
    <w:rsid w:val="00872DFA"/>
    <w:rsid w:val="00893496"/>
    <w:rsid w:val="008A318F"/>
    <w:rsid w:val="008A782C"/>
    <w:rsid w:val="008C262C"/>
    <w:rsid w:val="008E1849"/>
    <w:rsid w:val="009050AB"/>
    <w:rsid w:val="00906C93"/>
    <w:rsid w:val="00906E69"/>
    <w:rsid w:val="009129BF"/>
    <w:rsid w:val="00921D4E"/>
    <w:rsid w:val="0094092F"/>
    <w:rsid w:val="00945E73"/>
    <w:rsid w:val="0095287E"/>
    <w:rsid w:val="00956DDB"/>
    <w:rsid w:val="0096212A"/>
    <w:rsid w:val="009653A5"/>
    <w:rsid w:val="009707AE"/>
    <w:rsid w:val="00972CA3"/>
    <w:rsid w:val="009751E8"/>
    <w:rsid w:val="00982B63"/>
    <w:rsid w:val="00990E01"/>
    <w:rsid w:val="00994DCB"/>
    <w:rsid w:val="00996946"/>
    <w:rsid w:val="009A6E62"/>
    <w:rsid w:val="009B0AAA"/>
    <w:rsid w:val="009B0CBA"/>
    <w:rsid w:val="009B6E07"/>
    <w:rsid w:val="009B700D"/>
    <w:rsid w:val="009B7A1C"/>
    <w:rsid w:val="009C07E3"/>
    <w:rsid w:val="009C7400"/>
    <w:rsid w:val="009D10C0"/>
    <w:rsid w:val="009E4FE1"/>
    <w:rsid w:val="009E628C"/>
    <w:rsid w:val="00A15D32"/>
    <w:rsid w:val="00A373D5"/>
    <w:rsid w:val="00A52FCE"/>
    <w:rsid w:val="00A77645"/>
    <w:rsid w:val="00A945F7"/>
    <w:rsid w:val="00A94EB6"/>
    <w:rsid w:val="00AE43A6"/>
    <w:rsid w:val="00AE68D8"/>
    <w:rsid w:val="00B312FF"/>
    <w:rsid w:val="00B3170E"/>
    <w:rsid w:val="00B361E5"/>
    <w:rsid w:val="00B43234"/>
    <w:rsid w:val="00B525F9"/>
    <w:rsid w:val="00B57DD0"/>
    <w:rsid w:val="00B65ED9"/>
    <w:rsid w:val="00B70076"/>
    <w:rsid w:val="00B713CF"/>
    <w:rsid w:val="00B7349F"/>
    <w:rsid w:val="00B819D6"/>
    <w:rsid w:val="00B81C10"/>
    <w:rsid w:val="00B83DE9"/>
    <w:rsid w:val="00B90724"/>
    <w:rsid w:val="00B97185"/>
    <w:rsid w:val="00BA177A"/>
    <w:rsid w:val="00BA5320"/>
    <w:rsid w:val="00BA6993"/>
    <w:rsid w:val="00BB1E75"/>
    <w:rsid w:val="00BC136D"/>
    <w:rsid w:val="00BC3881"/>
    <w:rsid w:val="00BD0584"/>
    <w:rsid w:val="00BD4A5C"/>
    <w:rsid w:val="00BE0621"/>
    <w:rsid w:val="00BF5794"/>
    <w:rsid w:val="00BF75F6"/>
    <w:rsid w:val="00C0345E"/>
    <w:rsid w:val="00C06D3F"/>
    <w:rsid w:val="00C0797B"/>
    <w:rsid w:val="00C14A75"/>
    <w:rsid w:val="00C17B0A"/>
    <w:rsid w:val="00C26037"/>
    <w:rsid w:val="00C37450"/>
    <w:rsid w:val="00C42681"/>
    <w:rsid w:val="00C559E9"/>
    <w:rsid w:val="00C60EFA"/>
    <w:rsid w:val="00C61065"/>
    <w:rsid w:val="00C61B44"/>
    <w:rsid w:val="00C621E3"/>
    <w:rsid w:val="00C65137"/>
    <w:rsid w:val="00CA2992"/>
    <w:rsid w:val="00CB3A9A"/>
    <w:rsid w:val="00CC326E"/>
    <w:rsid w:val="00CD2BF1"/>
    <w:rsid w:val="00CD45E2"/>
    <w:rsid w:val="00CD6C06"/>
    <w:rsid w:val="00CD706A"/>
    <w:rsid w:val="00CD716F"/>
    <w:rsid w:val="00CE07F1"/>
    <w:rsid w:val="00CF039A"/>
    <w:rsid w:val="00CF0837"/>
    <w:rsid w:val="00CF3A11"/>
    <w:rsid w:val="00D00D64"/>
    <w:rsid w:val="00D04475"/>
    <w:rsid w:val="00D0711A"/>
    <w:rsid w:val="00D22F4F"/>
    <w:rsid w:val="00D23470"/>
    <w:rsid w:val="00D27172"/>
    <w:rsid w:val="00D370FC"/>
    <w:rsid w:val="00D4385D"/>
    <w:rsid w:val="00D536F0"/>
    <w:rsid w:val="00D66E69"/>
    <w:rsid w:val="00D8123B"/>
    <w:rsid w:val="00D83706"/>
    <w:rsid w:val="00D91839"/>
    <w:rsid w:val="00D93D59"/>
    <w:rsid w:val="00D972C4"/>
    <w:rsid w:val="00DA7615"/>
    <w:rsid w:val="00DC0146"/>
    <w:rsid w:val="00DC6F43"/>
    <w:rsid w:val="00DD20CE"/>
    <w:rsid w:val="00DD27F7"/>
    <w:rsid w:val="00DD5698"/>
    <w:rsid w:val="00DE4155"/>
    <w:rsid w:val="00DF3FC3"/>
    <w:rsid w:val="00DF6C8F"/>
    <w:rsid w:val="00E0199A"/>
    <w:rsid w:val="00E20607"/>
    <w:rsid w:val="00E23DA9"/>
    <w:rsid w:val="00E253F3"/>
    <w:rsid w:val="00E25A67"/>
    <w:rsid w:val="00E2677D"/>
    <w:rsid w:val="00E537E8"/>
    <w:rsid w:val="00E53BA5"/>
    <w:rsid w:val="00E54415"/>
    <w:rsid w:val="00E55939"/>
    <w:rsid w:val="00E648D6"/>
    <w:rsid w:val="00E657F1"/>
    <w:rsid w:val="00E66D63"/>
    <w:rsid w:val="00E75D6D"/>
    <w:rsid w:val="00E76CA0"/>
    <w:rsid w:val="00E80FFE"/>
    <w:rsid w:val="00E90E69"/>
    <w:rsid w:val="00E927C2"/>
    <w:rsid w:val="00EA19BF"/>
    <w:rsid w:val="00EE5D5A"/>
    <w:rsid w:val="00F00FB3"/>
    <w:rsid w:val="00F22C37"/>
    <w:rsid w:val="00F32A57"/>
    <w:rsid w:val="00F35648"/>
    <w:rsid w:val="00F35A22"/>
    <w:rsid w:val="00F36893"/>
    <w:rsid w:val="00F57A22"/>
    <w:rsid w:val="00F62275"/>
    <w:rsid w:val="00F64422"/>
    <w:rsid w:val="00F83025"/>
    <w:rsid w:val="00F90C37"/>
    <w:rsid w:val="00FA3894"/>
    <w:rsid w:val="00FA41BD"/>
    <w:rsid w:val="00FA4F3A"/>
    <w:rsid w:val="00FC5374"/>
    <w:rsid w:val="00FD0169"/>
    <w:rsid w:val="00FE15B3"/>
    <w:rsid w:val="00FE4A5B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AA618"/>
  <w15:docId w15:val="{B6FB7179-4A95-694A-BE13-542AB37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MNR 14"/>
    <w:qFormat/>
    <w:rsid w:val="009B0AAA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E5D5A"/>
    <w:pPr>
      <w:keepNext/>
      <w:spacing w:after="0" w:line="360" w:lineRule="auto"/>
      <w:jc w:val="center"/>
      <w:outlineLvl w:val="2"/>
    </w:pPr>
    <w:rPr>
      <w:rFonts w:eastAsia="Arial Unicode MS"/>
      <w:b/>
      <w:bCs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9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5D5A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EE5D5A"/>
    <w:pPr>
      <w:ind w:left="720"/>
      <w:contextualSpacing/>
    </w:pPr>
  </w:style>
  <w:style w:type="table" w:styleId="TableGrid">
    <w:name w:val="Table Grid"/>
    <w:basedOn w:val="TableNormal"/>
    <w:uiPriority w:val="39"/>
    <w:rsid w:val="00EE5D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E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5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15">
    <w:name w:val="Font Style15"/>
    <w:uiPriority w:val="99"/>
    <w:rsid w:val="00EE5D5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">
    <w:name w:val="Style2"/>
    <w:basedOn w:val="Normal"/>
    <w:uiPriority w:val="99"/>
    <w:rsid w:val="00EE5D5A"/>
    <w:pPr>
      <w:widowControl w:val="0"/>
      <w:autoSpaceDE w:val="0"/>
      <w:autoSpaceDN w:val="0"/>
      <w:adjustRightInd w:val="0"/>
      <w:spacing w:after="0" w:line="326" w:lineRule="exact"/>
      <w:ind w:firstLine="653"/>
      <w:jc w:val="both"/>
    </w:pPr>
    <w:rPr>
      <w:rFonts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EE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5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rsid w:val="00EE5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5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rsid w:val="00EE5D5A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E5D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EE5D5A"/>
    <w:pPr>
      <w:widowControl w:val="0"/>
      <w:snapToGrid w:val="0"/>
      <w:spacing w:after="0" w:line="240" w:lineRule="auto"/>
      <w:ind w:left="40"/>
      <w:jc w:val="both"/>
    </w:pPr>
    <w:rPr>
      <w:rFonts w:ascii="Times New Roman" w:eastAsia="Times New Roman" w:hAnsi="Times New Roman" w:cs="Times New Roman"/>
      <w:i/>
      <w:sz w:val="18"/>
      <w:szCs w:val="2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E5D5A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EE5D5A"/>
    <w:pPr>
      <w:spacing w:after="120" w:line="240" w:lineRule="auto"/>
      <w:ind w:left="283"/>
    </w:pPr>
    <w:rPr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5D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бычный2"/>
    <w:rsid w:val="00EE5D5A"/>
    <w:pPr>
      <w:widowControl w:val="0"/>
      <w:snapToGrid w:val="0"/>
      <w:spacing w:after="0" w:line="240" w:lineRule="auto"/>
      <w:ind w:left="40"/>
      <w:jc w:val="both"/>
    </w:pPr>
    <w:rPr>
      <w:rFonts w:ascii="Times New Roman" w:eastAsia="Times New Roman" w:hAnsi="Times New Roman" w:cs="Times New Roman"/>
      <w:i/>
      <w:sz w:val="18"/>
      <w:szCs w:val="28"/>
      <w:lang w:val="ru-RU" w:eastAsia="ru-RU"/>
    </w:rPr>
  </w:style>
  <w:style w:type="paragraph" w:customStyle="1" w:styleId="FR2">
    <w:name w:val="FR2"/>
    <w:rsid w:val="00EE5D5A"/>
    <w:pPr>
      <w:widowControl w:val="0"/>
      <w:spacing w:after="0" w:line="360" w:lineRule="auto"/>
    </w:pPr>
    <w:rPr>
      <w:rFonts w:ascii="Arial" w:eastAsia="Times New Roman" w:hAnsi="Arial" w:cs="Times New Roman"/>
      <w:snapToGrid w:val="0"/>
      <w:sz w:val="24"/>
      <w:szCs w:val="2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E5D5A"/>
    <w:rPr>
      <w:color w:val="808080"/>
    </w:rPr>
  </w:style>
  <w:style w:type="paragraph" w:styleId="HTMLPreformatted">
    <w:name w:val="HTML Preformatted"/>
    <w:basedOn w:val="Normal"/>
    <w:link w:val="HTMLPreformattedChar"/>
    <w:unhideWhenUsed/>
    <w:rsid w:val="00EE5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E5D5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E5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D5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D5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pple-converted-space">
    <w:name w:val="apple-converted-space"/>
    <w:basedOn w:val="DefaultParagraphFont"/>
    <w:rsid w:val="00EE5D5A"/>
  </w:style>
  <w:style w:type="paragraph" w:styleId="BodyText">
    <w:name w:val="Body Text"/>
    <w:basedOn w:val="Normal"/>
    <w:link w:val="BodyTextChar"/>
    <w:uiPriority w:val="99"/>
    <w:unhideWhenUsed/>
    <w:rsid w:val="00EE5D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5D5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">
    <w:name w:val="Нормальний текст"/>
    <w:basedOn w:val="Normal"/>
    <w:uiPriority w:val="99"/>
    <w:rsid w:val="00D83706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PrimitkaPRIMITKA">
    <w:name w:val="Primitka (PRIMITKA)"/>
    <w:basedOn w:val="Normal"/>
    <w:rsid w:val="00095807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a0">
    <w:name w:val="[Немає стилю абзацу]"/>
    <w:rsid w:val="004978D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rsid w:val="004978D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TableshapkaTABL">
    <w:name w:val="Table_shapka (TABL)"/>
    <w:basedOn w:val="Normal"/>
    <w:rsid w:val="004978D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9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992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val="ru-RU" w:eastAsia="ru-RU"/>
    </w:rPr>
  </w:style>
  <w:style w:type="paragraph" w:customStyle="1" w:styleId="10">
    <w:name w:val="Абзац списку1"/>
    <w:basedOn w:val="Normal"/>
    <w:rsid w:val="009B0AA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B0AA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3D2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536F0"/>
    <w:rPr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7031A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customStyle="1" w:styleId="11">
    <w:name w:val="Сітка таблиці1"/>
    <w:basedOn w:val="TableNormal"/>
    <w:next w:val="TableGrid"/>
    <w:uiPriority w:val="39"/>
    <w:rsid w:val="00DD56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0804-E4BC-4370-92DA-B7FB019C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14</Pages>
  <Words>4482</Words>
  <Characters>25553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andreystoyka@ukr.net</cp:lastModifiedBy>
  <cp:revision>16</cp:revision>
  <dcterms:created xsi:type="dcterms:W3CDTF">2022-08-12T10:47:00Z</dcterms:created>
  <dcterms:modified xsi:type="dcterms:W3CDTF">2023-04-30T07:12:00Z</dcterms:modified>
</cp:coreProperties>
</file>